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2CA9" w:rsidRDefault="00E02CA9" w:rsidP="00E02CA9">
      <w:pPr>
        <w:pStyle w:val="Heading1"/>
        <w:spacing w:before="0" w:line="240" w:lineRule="auto"/>
        <w:jc w:val="center"/>
        <w:rPr>
          <w:rFonts w:ascii="Times New Roman" w:hAnsi="Times New Roman" w:cs="Times New Roman"/>
          <w:color w:val="auto"/>
          <w:sz w:val="24"/>
          <w:szCs w:val="24"/>
        </w:rPr>
      </w:pPr>
      <w:bookmarkStart w:id="0" w:name="_Toc389728961"/>
      <w:bookmarkStart w:id="1" w:name="_GoBack"/>
      <w:bookmarkEnd w:id="1"/>
      <w:r>
        <w:rPr>
          <w:rFonts w:ascii="Times New Roman" w:hAnsi="Times New Roman" w:cs="Times New Roman"/>
          <w:color w:val="auto"/>
          <w:sz w:val="24"/>
          <w:szCs w:val="24"/>
        </w:rPr>
        <w:t>201</w:t>
      </w:r>
      <w:r w:rsidR="004768E4">
        <w:rPr>
          <w:rFonts w:ascii="Times New Roman" w:hAnsi="Times New Roman" w:cs="Times New Roman"/>
          <w:color w:val="auto"/>
          <w:sz w:val="24"/>
          <w:szCs w:val="24"/>
        </w:rPr>
        <w:t>8</w:t>
      </w:r>
      <w:r w:rsidRPr="00E904BF">
        <w:rPr>
          <w:rFonts w:ascii="Times New Roman" w:hAnsi="Times New Roman" w:cs="Times New Roman"/>
          <w:color w:val="auto"/>
          <w:sz w:val="24"/>
          <w:szCs w:val="24"/>
        </w:rPr>
        <w:t xml:space="preserve"> LAW ENFORCEMENT </w:t>
      </w:r>
      <w:r>
        <w:rPr>
          <w:rFonts w:ascii="Times New Roman" w:hAnsi="Times New Roman" w:cs="Times New Roman"/>
          <w:color w:val="auto"/>
          <w:sz w:val="24"/>
          <w:szCs w:val="24"/>
        </w:rPr>
        <w:t xml:space="preserve">WASPC/CALEA </w:t>
      </w:r>
      <w:r>
        <w:rPr>
          <w:rFonts w:ascii="Times New Roman" w:hAnsi="Times New Roman" w:cs="Times New Roman"/>
          <w:color w:val="auto"/>
          <w:sz w:val="24"/>
          <w:szCs w:val="24"/>
        </w:rPr>
        <w:br/>
        <w:t xml:space="preserve">CROSSWALK </w:t>
      </w:r>
      <w:r w:rsidRPr="00E904BF">
        <w:rPr>
          <w:rFonts w:ascii="Times New Roman" w:hAnsi="Times New Roman" w:cs="Times New Roman"/>
          <w:color w:val="auto"/>
          <w:sz w:val="24"/>
          <w:szCs w:val="24"/>
        </w:rPr>
        <w:t>ACCREDITATION STANDARDS</w:t>
      </w:r>
    </w:p>
    <w:p w:rsidR="00E02CA9" w:rsidRPr="00D14C99" w:rsidRDefault="00E02CA9" w:rsidP="00E02CA9">
      <w:pPr>
        <w:jc w:val="center"/>
        <w:rPr>
          <w:b/>
          <w:i/>
        </w:rPr>
      </w:pPr>
      <w:r w:rsidRPr="00D14C99">
        <w:rPr>
          <w:b/>
          <w:i/>
        </w:rPr>
        <w:t>(Individual)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425D1B" w:rsidRDefault="00CF14DE" w:rsidP="00AA4BD7">
            <w:pPr>
              <w:rPr>
                <w:rFonts w:asciiTheme="majorHAnsi" w:hAnsiTheme="majorHAnsi" w:cstheme="majorHAnsi"/>
                <w:b/>
                <w:sz w:val="24"/>
                <w:szCs w:val="24"/>
              </w:rPr>
            </w:pPr>
            <w:r w:rsidRPr="00425D1B">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425D1B" w:rsidRDefault="00AA4BD7" w:rsidP="00AA4BD7">
            <w:pPr>
              <w:rPr>
                <w:rFonts w:asciiTheme="majorHAnsi" w:hAnsiTheme="majorHAnsi" w:cstheme="majorHAnsi"/>
                <w:b/>
                <w:sz w:val="24"/>
                <w:szCs w:val="24"/>
              </w:rPr>
            </w:pPr>
            <w:r w:rsidRPr="00425D1B">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425D1B" w:rsidRDefault="00CF14DE" w:rsidP="002364B8">
            <w:pPr>
              <w:rPr>
                <w:rFonts w:asciiTheme="majorHAnsi" w:hAnsiTheme="majorHAnsi" w:cstheme="majorHAnsi"/>
                <w:b/>
                <w:sz w:val="24"/>
                <w:szCs w:val="24"/>
              </w:rPr>
            </w:pPr>
            <w:r w:rsidRPr="00425D1B">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4453EF">
        <w:trPr>
          <w:trHeight w:val="468"/>
        </w:trPr>
        <w:tc>
          <w:tcPr>
            <w:tcW w:w="2318" w:type="dxa"/>
            <w:tcBorders>
              <w:bottom w:val="single" w:sz="4" w:space="0" w:color="auto"/>
            </w:tcBorders>
            <w:vAlign w:val="bottom"/>
          </w:tcPr>
          <w:p w:rsidR="00CF14DE" w:rsidRPr="00425D1B" w:rsidRDefault="004453EF" w:rsidP="004453EF">
            <w:pPr>
              <w:rPr>
                <w:rFonts w:asciiTheme="majorHAnsi" w:hAnsiTheme="majorHAnsi" w:cstheme="majorHAnsi"/>
                <w:b/>
                <w:sz w:val="24"/>
                <w:szCs w:val="24"/>
              </w:rPr>
            </w:pPr>
            <w:r w:rsidRPr="00425D1B">
              <w:rPr>
                <w:rFonts w:asciiTheme="majorHAnsi" w:hAnsiTheme="majorHAnsi" w:cstheme="majorHAnsi"/>
                <w:b/>
                <w:sz w:val="24"/>
                <w:szCs w:val="24"/>
              </w:rPr>
              <w:t>Your Name:</w:t>
            </w:r>
            <w:r w:rsidR="00CF14DE" w:rsidRPr="00425D1B">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AA4BD7" w:rsidRPr="002364B8" w:rsidRDefault="000C6BF8" w:rsidP="004453EF">
                <w:pPr>
                  <w:rPr>
                    <w:rFonts w:asciiTheme="majorHAnsi" w:hAnsiTheme="majorHAnsi" w:cstheme="majorHAnsi"/>
                    <w:sz w:val="20"/>
                    <w:szCs w:val="20"/>
                  </w:rPr>
                </w:pPr>
                <w:r w:rsidRPr="00D34178">
                  <w:rPr>
                    <w:rStyle w:val="PlaceholderText"/>
                  </w:rPr>
                  <w:t>Click here to enter text.</w:t>
                </w:r>
              </w:p>
            </w:sdtContent>
          </w:sdt>
        </w:tc>
      </w:tr>
    </w:tbl>
    <w:p w:rsidR="00480C6A" w:rsidRPr="00881C5D" w:rsidRDefault="00480C6A" w:rsidP="00480C6A">
      <w:pPr>
        <w:pStyle w:val="Heading2"/>
        <w:rPr>
          <w:rFonts w:asciiTheme="minorHAnsi" w:hAnsiTheme="minorHAnsi" w:cstheme="minorHAnsi"/>
        </w:rPr>
      </w:pPr>
      <w:bookmarkStart w:id="2" w:name="_Toc389728964"/>
      <w:bookmarkEnd w:id="0"/>
      <w:r w:rsidRPr="00881C5D">
        <w:rPr>
          <w:rFonts w:asciiTheme="minorHAnsi" w:hAnsiTheme="minorHAnsi" w:cstheme="minorHAnsi"/>
        </w:rPr>
        <w:t>Chapter 3—Use of Force</w:t>
      </w:r>
      <w:bookmarkEnd w:id="2"/>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881C5D">
                  <w:rPr>
                    <w:rStyle w:val="PlaceholderText"/>
                    <w:rFonts w:asciiTheme="minorHAnsi" w:hAnsiTheme="minorHAnsi" w:cstheme="minorHAnsi"/>
                  </w:rPr>
                  <w:t>Click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320106" w:rsidRPr="00881C5D" w:rsidRDefault="0087496F" w:rsidP="00320106">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an officer involved shooting/deadly force response policy that includes steps for first responders and includes a comprehensive investigation </w:t>
            </w:r>
            <w:r w:rsidRPr="00881C5D">
              <w:rPr>
                <w:rFonts w:asciiTheme="minorHAnsi" w:hAnsiTheme="minorHAnsi" w:cstheme="minorHAnsi"/>
                <w:b/>
                <w:sz w:val="24"/>
                <w:szCs w:val="24"/>
              </w:rPr>
              <w:t xml:space="preserve">and </w:t>
            </w:r>
            <w:r w:rsidRPr="00881C5D">
              <w:rPr>
                <w:rFonts w:asciiTheme="minorHAnsi" w:hAnsiTheme="minorHAnsi" w:cstheme="minorHAnsi"/>
                <w:sz w:val="24"/>
                <w:szCs w:val="24"/>
              </w:rPr>
              <w:t>review of the event.</w:t>
            </w:r>
          </w:p>
          <w:p w:rsidR="0087496F" w:rsidRPr="00881C5D" w:rsidRDefault="0087496F" w:rsidP="00320106">
            <w:pPr>
              <w:jc w:val="both"/>
              <w:rPr>
                <w:rFonts w:asciiTheme="minorHAnsi" w:hAnsiTheme="minorHAnsi" w:cstheme="minorHAnsi"/>
                <w:sz w:val="24"/>
                <w:szCs w:val="24"/>
              </w:rPr>
            </w:pPr>
          </w:p>
          <w:p w:rsidR="00320106" w:rsidRPr="00881C5D" w:rsidRDefault="00320106"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has in place a formal response, review and investigative process for officer involved shootings that result in injury or loss of life, </w:t>
            </w:r>
            <w:r w:rsidR="0087496F" w:rsidRPr="00881C5D">
              <w:rPr>
                <w:rFonts w:asciiTheme="minorHAnsi" w:hAnsiTheme="minorHAnsi" w:cstheme="minorHAnsi"/>
                <w:i/>
                <w:iCs/>
                <w:sz w:val="24"/>
                <w:szCs w:val="24"/>
              </w:rPr>
              <w:t xml:space="preserve">that </w:t>
            </w:r>
            <w:r w:rsidRPr="00881C5D">
              <w:rPr>
                <w:rFonts w:asciiTheme="minorHAnsi" w:hAnsiTheme="minorHAnsi" w:cstheme="minorHAnsi"/>
                <w:i/>
                <w:iCs/>
                <w:sz w:val="24"/>
                <w:szCs w:val="24"/>
              </w:rPr>
              <w:t>protect interests, rights, and mental health of involved officers.</w:t>
            </w:r>
          </w:p>
          <w:p w:rsidR="00A0311A" w:rsidRPr="00881C5D" w:rsidRDefault="00A0311A" w:rsidP="00C91295">
            <w:pPr>
              <w:jc w:val="both"/>
              <w:rPr>
                <w:rFonts w:asciiTheme="minorHAnsi" w:hAnsiTheme="minorHAnsi" w:cstheme="minorHAnsi"/>
                <w:i/>
                <w:iCs/>
                <w:sz w:val="24"/>
                <w:szCs w:val="24"/>
              </w:rPr>
            </w:pPr>
          </w:p>
        </w:tc>
      </w:tr>
    </w:tbl>
    <w:p w:rsidR="00320106" w:rsidRDefault="00320106" w:rsidP="00320106">
      <w:pPr>
        <w:pStyle w:val="Heading2"/>
      </w:pPr>
      <w:bookmarkStart w:id="3" w:name="_Toc389728965"/>
      <w:r>
        <w:t>Chapter 4—Management, Staffing, Organization, and Utilization of Personnel</w:t>
      </w:r>
      <w:bookmarkEnd w:id="3"/>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E41FC0">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683790">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320106" w:rsidRDefault="00320106" w:rsidP="00320106">
            <w:pPr>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320106">
            <w:pPr>
              <w:jc w:val="both"/>
              <w:rPr>
                <w:rFonts w:ascii="Times New Roman" w:hAnsi="Times New Roman"/>
                <w:sz w:val="24"/>
                <w:szCs w:val="24"/>
              </w:rPr>
            </w:pP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Biased based profiling incidents</w:t>
            </w:r>
          </w:p>
          <w:p w:rsidR="00320106" w:rsidRPr="00202308" w:rsidRDefault="00320106" w:rsidP="00320106">
            <w:pPr>
              <w:jc w:val="both"/>
              <w:rPr>
                <w:rFonts w:ascii="Times New Roman" w:hAnsi="Times New Roman"/>
                <w:sz w:val="24"/>
                <w:szCs w:val="24"/>
              </w:rPr>
            </w:pPr>
          </w:p>
          <w:p w:rsidR="00320106" w:rsidRDefault="00320106" w:rsidP="00C91295">
            <w:pPr>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xml:space="preserve">: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w:t>
            </w:r>
            <w:r w:rsidRPr="00202308">
              <w:rPr>
                <w:rFonts w:ascii="Times New Roman" w:hAnsi="Times New Roman"/>
                <w:i/>
                <w:sz w:val="24"/>
                <w:szCs w:val="24"/>
              </w:rPr>
              <w:lastRenderedPageBreak/>
              <w:t>should address policy, procedure, training and/or personnel issues that are identified during this review process.</w:t>
            </w:r>
          </w:p>
          <w:p w:rsidR="00A0311A" w:rsidRPr="00320106" w:rsidRDefault="00A0311A" w:rsidP="00C91295">
            <w:pPr>
              <w:jc w:val="both"/>
              <w:rPr>
                <w:rFonts w:ascii="Times New Roman" w:hAnsi="Times New Roman"/>
                <w:sz w:val="24"/>
                <w:szCs w:val="24"/>
              </w:rPr>
            </w:pPr>
          </w:p>
        </w:tc>
      </w:tr>
    </w:tbl>
    <w:p w:rsidR="00320106" w:rsidRDefault="00320106" w:rsidP="00320106">
      <w:pPr>
        <w:pStyle w:val="Heading2"/>
      </w:pPr>
      <w:bookmarkStart w:id="4" w:name="_Toc389728966"/>
      <w:r>
        <w:lastRenderedPageBreak/>
        <w:t>Chapter 5—Records Management</w:t>
      </w:r>
      <w:bookmarkEnd w:id="4"/>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881C5D">
                  <w:rPr>
                    <w:rStyle w:val="PlaceholderText"/>
                    <w:rFonts w:asciiTheme="minorHAnsi" w:hAnsiTheme="minorHAnsi" w:cstheme="minorHAnsi"/>
                  </w:rPr>
                  <w:t>Click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881C5D">
                  <w:rPr>
                    <w:rStyle w:val="PlaceholderText"/>
                    <w:rFonts w:asciiTheme="minorHAnsi" w:hAnsiTheme="minorHAnsi" w:cstheme="minorHAnsi"/>
                  </w:rPr>
                  <w:t>Click here to enter text.</w:t>
                </w:r>
              </w:sdtContent>
            </w:sdt>
          </w:p>
        </w:tc>
      </w:tr>
      <w:tr w:rsidR="005B3A8D" w:rsidRPr="00881C5D" w:rsidTr="00AD78C6">
        <w:tc>
          <w:tcPr>
            <w:tcW w:w="810" w:type="dxa"/>
            <w:shd w:val="clear" w:color="auto" w:fill="F2F2F2" w:themeFill="background1" w:themeFillShade="F2"/>
          </w:tcPr>
          <w:p w:rsidR="005B3A8D" w:rsidRPr="00881C5D" w:rsidRDefault="005B3A8D" w:rsidP="005B3A8D">
            <w:pPr>
              <w:spacing w:after="120"/>
              <w:jc w:val="both"/>
              <w:rPr>
                <w:rFonts w:asciiTheme="minorHAnsi" w:hAnsiTheme="minorHAnsi" w:cstheme="minorHAnsi"/>
                <w:sz w:val="24"/>
                <w:szCs w:val="24"/>
              </w:rPr>
            </w:pPr>
            <w:r>
              <w:rPr>
                <w:rFonts w:asciiTheme="minorHAnsi" w:hAnsiTheme="minorHAnsi" w:cstheme="minorHAnsi"/>
                <w:sz w:val="24"/>
                <w:szCs w:val="24"/>
              </w:rPr>
              <w:t>5.13</w:t>
            </w:r>
          </w:p>
        </w:tc>
        <w:tc>
          <w:tcPr>
            <w:tcW w:w="2070" w:type="dxa"/>
            <w:shd w:val="clear" w:color="auto" w:fill="F2F2F2" w:themeFill="background1" w:themeFillShade="F2"/>
          </w:tcPr>
          <w:p w:rsidR="005B3A8D" w:rsidRPr="00881C5D" w:rsidRDefault="005B3A8D" w:rsidP="005B3A8D">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5B3A8D" w:rsidRPr="00881C5D" w:rsidRDefault="005B3A8D" w:rsidP="005B3A8D">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816909601"/>
                <w:placeholder>
                  <w:docPart w:val="308B6D571EB04D7DB05DFED23092914C"/>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0758DB">
            <w:pPr>
              <w:ind w:left="720"/>
              <w:jc w:val="both"/>
              <w:rPr>
                <w:rFonts w:asciiTheme="minorHAnsi" w:hAnsiTheme="minorHAnsi" w:cstheme="minorHAnsi"/>
                <w:sz w:val="24"/>
                <w:szCs w:val="24"/>
              </w:rPr>
            </w:pP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have been trained and certified </w:t>
            </w:r>
          </w:p>
          <w:p w:rsidR="000758DB" w:rsidRPr="00881C5D" w:rsidRDefault="000758DB" w:rsidP="000758DB">
            <w:pPr>
              <w:ind w:left="720"/>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terminal(s) in a secure, professional and legal manner. The agency should 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0758DB" w:rsidRPr="00881C5D" w:rsidRDefault="000758DB" w:rsidP="000758DB">
            <w:pPr>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0758DB" w:rsidRPr="00881C5D" w:rsidRDefault="000758DB" w:rsidP="000758DB">
            <w:pPr>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5.9</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p w:rsidR="00A0311A" w:rsidRPr="00881C5D" w:rsidRDefault="00A0311A" w:rsidP="00C91295">
            <w:pPr>
              <w:jc w:val="both"/>
              <w:rPr>
                <w:rFonts w:asciiTheme="minorHAnsi" w:hAnsiTheme="minorHAnsi" w:cstheme="minorHAnsi"/>
                <w:i/>
                <w:sz w:val="24"/>
                <w:szCs w:val="24"/>
              </w:rPr>
            </w:pPr>
          </w:p>
        </w:tc>
      </w:tr>
      <w:tr w:rsidR="005B3A8D" w:rsidRPr="00881C5D" w:rsidTr="00AD78C6">
        <w:tc>
          <w:tcPr>
            <w:tcW w:w="804" w:type="dxa"/>
          </w:tcPr>
          <w:p w:rsidR="005B3A8D" w:rsidRPr="00881C5D" w:rsidRDefault="005B3A8D"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908" w:type="dxa"/>
          </w:tcPr>
          <w:p w:rsidR="005B3A8D" w:rsidRDefault="005B3A8D" w:rsidP="005B3A8D">
            <w:pPr>
              <w:tabs>
                <w:tab w:val="left" w:pos="720"/>
              </w:tabs>
              <w:jc w:val="both"/>
              <w:rPr>
                <w:rFonts w:asciiTheme="minorHAnsi" w:hAnsiTheme="minorHAnsi" w:cstheme="minorHAnsi"/>
                <w:sz w:val="24"/>
                <w:szCs w:val="24"/>
              </w:rPr>
            </w:pPr>
            <w:r w:rsidRPr="005B3A8D">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5B3A8D" w:rsidRPr="005B3A8D" w:rsidRDefault="005B3A8D" w:rsidP="005B3A8D">
            <w:pPr>
              <w:tabs>
                <w:tab w:val="left" w:pos="720"/>
              </w:tabs>
              <w:jc w:val="both"/>
              <w:rPr>
                <w:rFonts w:asciiTheme="minorHAnsi" w:hAnsiTheme="minorHAnsi" w:cstheme="minorHAnsi"/>
                <w:sz w:val="24"/>
                <w:szCs w:val="24"/>
              </w:rPr>
            </w:pPr>
          </w:p>
          <w:p w:rsidR="005B3A8D" w:rsidRDefault="005B3A8D" w:rsidP="005B3A8D">
            <w:pPr>
              <w:tabs>
                <w:tab w:val="left" w:pos="720"/>
              </w:tabs>
              <w:jc w:val="both"/>
              <w:rPr>
                <w:rFonts w:asciiTheme="minorHAnsi" w:hAnsiTheme="minorHAnsi" w:cstheme="minorHAnsi"/>
                <w:i/>
                <w:sz w:val="24"/>
                <w:szCs w:val="24"/>
              </w:rPr>
            </w:pPr>
            <w:r w:rsidRPr="005B3A8D">
              <w:rPr>
                <w:rFonts w:asciiTheme="minorHAnsi" w:hAnsiTheme="minorHAnsi" w:cstheme="minorHAnsi"/>
                <w:b/>
                <w:i/>
                <w:sz w:val="24"/>
                <w:szCs w:val="24"/>
              </w:rPr>
              <w:t>Purpose:</w:t>
            </w:r>
            <w:r w:rsidRPr="005B3A8D">
              <w:rPr>
                <w:rFonts w:asciiTheme="minorHAnsi" w:hAnsiTheme="minorHAnsi" w:cstheme="minorHAnsi"/>
                <w:i/>
                <w:sz w:val="24"/>
                <w:szCs w:val="24"/>
              </w:rPr>
              <w:t xml:space="preserve"> To comply with the RCW and state retention schedule standard LE 2010-063.</w:t>
            </w:r>
          </w:p>
          <w:p w:rsidR="005B3A8D" w:rsidRPr="005B3A8D" w:rsidRDefault="005B3A8D" w:rsidP="005B3A8D">
            <w:pPr>
              <w:tabs>
                <w:tab w:val="left" w:pos="720"/>
              </w:tabs>
              <w:jc w:val="both"/>
              <w:rPr>
                <w:rFonts w:asciiTheme="minorHAnsi" w:hAnsiTheme="minorHAnsi" w:cstheme="minorHAnsi"/>
                <w:i/>
                <w:sz w:val="24"/>
                <w:szCs w:val="24"/>
              </w:rPr>
            </w:pPr>
          </w:p>
        </w:tc>
      </w:tr>
    </w:tbl>
    <w:p w:rsidR="00320106" w:rsidRPr="00881C5D" w:rsidRDefault="00320106" w:rsidP="00320106">
      <w:pPr>
        <w:pStyle w:val="Heading2"/>
        <w:rPr>
          <w:rFonts w:asciiTheme="minorHAnsi" w:hAnsiTheme="minorHAnsi" w:cstheme="minorHAnsi"/>
        </w:rPr>
      </w:pPr>
      <w:bookmarkStart w:id="5"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5"/>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881C5D" w:rsidTr="00683790">
        <w:tc>
          <w:tcPr>
            <w:tcW w:w="80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732" w:type="dxa"/>
          </w:tcPr>
          <w:p w:rsidR="000758DB" w:rsidRPr="00881C5D" w:rsidRDefault="000758DB" w:rsidP="000758DB">
            <w:pPr>
              <w:tabs>
                <w:tab w:val="num" w:pos="1440"/>
              </w:tabs>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8"/>
      <w:r>
        <w:t xml:space="preserve">Chapter </w:t>
      </w:r>
      <w:r w:rsidR="000758DB">
        <w:t xml:space="preserve">7—Unusual </w:t>
      </w:r>
      <w:r w:rsidR="005950E3">
        <w:t>Occurrences</w:t>
      </w:r>
      <w:bookmarkEnd w:id="6"/>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Every sworn member of the agency has completed the National Incident Management System introductory training course(s).</w:t>
            </w:r>
          </w:p>
          <w:p w:rsidR="005B3A8D" w:rsidRDefault="005B3A8D" w:rsidP="00C91295">
            <w:pPr>
              <w:jc w:val="both"/>
              <w:rPr>
                <w:rFonts w:asciiTheme="minorHAnsi" w:hAnsiTheme="minorHAnsi" w:cstheme="minorHAnsi"/>
                <w:sz w:val="24"/>
                <w:szCs w:val="24"/>
              </w:rPr>
            </w:pPr>
          </w:p>
          <w:p w:rsidR="005B3A8D" w:rsidRPr="00881C5D" w:rsidRDefault="005B3A8D"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881C5D" w:rsidRDefault="00A0311A" w:rsidP="00C91295">
            <w:pPr>
              <w:jc w:val="both"/>
              <w:rPr>
                <w:rFonts w:asciiTheme="minorHAnsi" w:hAnsiTheme="minorHAnsi" w:cstheme="minorHAnsi"/>
                <w:sz w:val="24"/>
                <w:szCs w:val="24"/>
              </w:rPr>
            </w:pPr>
          </w:p>
        </w:tc>
      </w:tr>
      <w:tr w:rsidR="005950E3" w:rsidRPr="00881C5D" w:rsidTr="00683790">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5950E3" w:rsidRPr="00881C5D"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69"/>
      <w:r>
        <w:lastRenderedPageBreak/>
        <w:t xml:space="preserve">Chapter </w:t>
      </w:r>
      <w:r w:rsidR="007D1A2C">
        <w:t>8—Health and Safety</w:t>
      </w:r>
      <w:bookmarkEnd w:id="7"/>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p w:rsidR="00A0311A" w:rsidRPr="00881C5D" w:rsidRDefault="00A0311A" w:rsidP="00C91295">
            <w:pPr>
              <w:jc w:val="both"/>
              <w:rPr>
                <w:rFonts w:asciiTheme="minorHAnsi" w:hAnsiTheme="minorHAnsi" w:cstheme="minorHAnsi"/>
                <w:sz w:val="24"/>
                <w:szCs w:val="24"/>
              </w:rPr>
            </w:pPr>
          </w:p>
        </w:tc>
      </w:tr>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provides personal protective equipment, which </w:t>
            </w:r>
            <w:r w:rsidR="00DC37F6">
              <w:rPr>
                <w:rFonts w:asciiTheme="minorHAnsi" w:hAnsiTheme="minorHAnsi" w:cstheme="minorHAnsi"/>
                <w:sz w:val="24"/>
                <w:szCs w:val="24"/>
              </w:rPr>
              <w:t>shall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8" w:name="_Toc389728970"/>
      <w:r>
        <w:t xml:space="preserve">Chapter </w:t>
      </w:r>
      <w:r w:rsidR="007D1A2C">
        <w:t>9—Fiscal Management</w:t>
      </w:r>
      <w:bookmarkEnd w:id="8"/>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7D1A2C" w:rsidRPr="00881C5D" w:rsidRDefault="007D1A2C" w:rsidP="007D1A2C">
            <w:pPr>
              <w:pStyle w:val="ListParagraph"/>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sz w:val="24"/>
                <w:szCs w:val="24"/>
              </w:rPr>
            </w:pPr>
            <w:r w:rsidRPr="00881C5D">
              <w:rPr>
                <w:rFonts w:asciiTheme="minorHAnsi" w:hAnsiTheme="minorHAnsi" w:cstheme="minorHAnsi"/>
                <w:b/>
                <w:i/>
                <w:sz w:val="24"/>
                <w:szCs w:val="24"/>
              </w:rPr>
              <w:lastRenderedPageBreak/>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lastRenderedPageBreak/>
              <w:t>9.6*</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881C5D"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9" w:name="_Toc389728971"/>
      <w:r>
        <w:t>Chapter</w:t>
      </w:r>
      <w:r w:rsidR="007D1A2C">
        <w:t xml:space="preserve"> 10</w:t>
      </w:r>
      <w:r>
        <w:t>—</w:t>
      </w:r>
      <w:r w:rsidR="007D1A2C">
        <w:t>Recruitment and Selection</w:t>
      </w:r>
      <w:bookmarkEnd w:id="9"/>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881C5D" w:rsidRDefault="00A0311A" w:rsidP="00C91295">
            <w:pPr>
              <w:tabs>
                <w:tab w:val="left" w:pos="0"/>
              </w:tabs>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C91295">
            <w:pPr>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10" w:name="_Toc389728972"/>
      <w:r>
        <w:t xml:space="preserve">Chapter </w:t>
      </w:r>
      <w:r w:rsidR="007D1A2C">
        <w:t>11—Training</w:t>
      </w:r>
      <w:bookmarkEnd w:id="10"/>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7736E2" w:rsidRPr="00881C5D" w:rsidRDefault="007736E2" w:rsidP="007736E2">
            <w:pPr>
              <w:jc w:val="both"/>
              <w:rPr>
                <w:rFonts w:asciiTheme="minorHAnsi" w:hAnsiTheme="minorHAnsi" w:cstheme="minorHAnsi"/>
                <w:sz w:val="24"/>
                <w:szCs w:val="24"/>
              </w:rPr>
            </w:pPr>
          </w:p>
          <w:p w:rsidR="00B66858" w:rsidRPr="00881C5D" w:rsidRDefault="007736E2"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881C5D" w:rsidRDefault="00A0311A" w:rsidP="00C91295">
            <w:pPr>
              <w:jc w:val="both"/>
              <w:rPr>
                <w:rFonts w:asciiTheme="minorHAnsi" w:hAnsiTheme="minorHAnsi" w:cstheme="minorHAnsi"/>
                <w:sz w:val="24"/>
                <w:szCs w:val="24"/>
              </w:rPr>
            </w:pP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881C5D" w:rsidRDefault="007736E2" w:rsidP="007736E2">
            <w:pPr>
              <w:jc w:val="both"/>
              <w:rPr>
                <w:rFonts w:asciiTheme="minorHAnsi" w:hAnsiTheme="minorHAnsi" w:cstheme="minorHAnsi"/>
                <w:sz w:val="24"/>
                <w:szCs w:val="24"/>
              </w:rPr>
            </w:pPr>
          </w:p>
          <w:p w:rsidR="00B6685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p w:rsidR="00A0311A" w:rsidRPr="00881C5D" w:rsidRDefault="00A0311A" w:rsidP="002D1FC9">
            <w:pPr>
              <w:jc w:val="both"/>
              <w:rPr>
                <w:rFonts w:asciiTheme="minorHAnsi" w:hAnsiTheme="minorHAnsi" w:cstheme="minorHAnsi"/>
                <w:sz w:val="24"/>
                <w:szCs w:val="24"/>
              </w:rPr>
            </w:pPr>
          </w:p>
        </w:tc>
      </w:tr>
    </w:tbl>
    <w:p w:rsidR="00320106" w:rsidRDefault="00320106" w:rsidP="00CF14DE">
      <w:pPr>
        <w:pStyle w:val="Heading2"/>
      </w:pPr>
      <w:bookmarkStart w:id="11" w:name="_Toc389728974"/>
      <w:r>
        <w:t xml:space="preserve">Chapter </w:t>
      </w:r>
      <w:r w:rsidR="00B66858">
        <w:t>13—Code of Conduct</w:t>
      </w:r>
      <w:bookmarkEnd w:id="11"/>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AC719D">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881C5D" w:rsidRDefault="00AC719D" w:rsidP="00AC719D">
            <w:pPr>
              <w:jc w:val="both"/>
              <w:rPr>
                <w:rFonts w:asciiTheme="minorHAnsi" w:hAnsiTheme="minorHAnsi" w:cstheme="minorHAnsi"/>
                <w:sz w:val="24"/>
                <w:szCs w:val="24"/>
              </w:rPr>
            </w:pPr>
          </w:p>
          <w:p w:rsidR="00AC719D" w:rsidRPr="00881C5D" w:rsidRDefault="00AC719D" w:rsidP="00AC719D">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881C5D" w:rsidRDefault="00A0311A" w:rsidP="002D1FC9">
            <w:pPr>
              <w:jc w:val="both"/>
              <w:rPr>
                <w:rFonts w:asciiTheme="minorHAnsi" w:hAnsiTheme="minorHAnsi" w:cstheme="minorHAnsi"/>
                <w:sz w:val="24"/>
                <w:szCs w:val="24"/>
              </w:rPr>
            </w:pP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881C5D" w:rsidRDefault="007736E2" w:rsidP="007736E2">
            <w:pPr>
              <w:jc w:val="both"/>
              <w:rPr>
                <w:rFonts w:asciiTheme="minorHAnsi" w:hAnsiTheme="minorHAnsi" w:cstheme="minorHAns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881C5D" w:rsidRDefault="00A0311A" w:rsidP="002D1FC9">
            <w:pPr>
              <w:jc w:val="both"/>
              <w:rPr>
                <w:rFonts w:asciiTheme="minorHAnsi" w:hAnsiTheme="minorHAnsi" w:cstheme="minorHAnsi"/>
                <w:sz w:val="24"/>
                <w:szCs w:val="24"/>
              </w:rPr>
            </w:pP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7736E2">
            <w:pPr>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E41FC0" w:rsidRDefault="007736E2" w:rsidP="007736E2">
            <w:pPr>
              <w:jc w:val="both"/>
              <w:rPr>
                <w:rFonts w:asciiTheme="minorHAnsi" w:hAnsiTheme="minorHAnsi" w:cstheme="minorHAnsi"/>
                <w:sz w:val="24"/>
                <w:szCs w:val="24"/>
              </w:rPr>
            </w:pPr>
          </w:p>
          <w:p w:rsidR="00606798" w:rsidRPr="00E41FC0" w:rsidRDefault="007736E2" w:rsidP="002D1FC9">
            <w:pPr>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 xml:space="preserve">enforcement’s duty to provide potentially exculpatory or impeachment </w:t>
            </w:r>
            <w:r w:rsidRPr="00E41FC0">
              <w:rPr>
                <w:rFonts w:asciiTheme="minorHAnsi" w:hAnsiTheme="minorHAnsi" w:cstheme="minorHAnsi"/>
                <w:i/>
                <w:sz w:val="24"/>
                <w:szCs w:val="24"/>
              </w:rPr>
              <w:lastRenderedPageBreak/>
              <w:t>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p w:rsidR="00A0311A" w:rsidRPr="00E41FC0" w:rsidRDefault="00A0311A" w:rsidP="002D1FC9">
            <w:pPr>
              <w:jc w:val="both"/>
              <w:rPr>
                <w:rFonts w:asciiTheme="minorHAnsi" w:hAnsiTheme="minorHAnsi" w:cstheme="minorHAnsi"/>
                <w:sz w:val="24"/>
                <w:szCs w:val="24"/>
              </w:rPr>
            </w:pPr>
          </w:p>
        </w:tc>
      </w:tr>
    </w:tbl>
    <w:p w:rsidR="00CF14DE" w:rsidRDefault="00320106" w:rsidP="00320106">
      <w:pPr>
        <w:pStyle w:val="Heading2"/>
      </w:pPr>
      <w:bookmarkStart w:id="12" w:name="_Toc389728975"/>
      <w:r>
        <w:lastRenderedPageBreak/>
        <w:t xml:space="preserve">Chapter </w:t>
      </w:r>
      <w:r w:rsidR="00606798">
        <w:t>14—Internal Affairs</w:t>
      </w:r>
      <w:bookmarkEnd w:id="12"/>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7736E2" w:rsidRPr="00881C5D" w:rsidRDefault="007736E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p w:rsidR="00A0311A" w:rsidRPr="00881C5D" w:rsidRDefault="00A0311A" w:rsidP="002D1FC9">
            <w:pPr>
              <w:jc w:val="both"/>
              <w:rPr>
                <w:rFonts w:asciiTheme="minorHAnsi" w:hAnsiTheme="minorHAnsi" w:cstheme="minorHAnsi"/>
                <w:sz w:val="24"/>
                <w:szCs w:val="24"/>
              </w:rPr>
            </w:pP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7736E2" w:rsidRPr="00881C5D" w:rsidRDefault="007736E2" w:rsidP="007736E2">
            <w:pPr>
              <w:pStyle w:val="ListParagraph"/>
              <w:jc w:val="both"/>
              <w:rPr>
                <w:rFonts w:asciiTheme="minorHAnsi" w:hAnsiTheme="minorHAnsi" w:cstheme="minorHAnsi"/>
                <w: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p w:rsidR="00A0311A" w:rsidRPr="00881C5D" w:rsidRDefault="00A0311A" w:rsidP="002D1FC9">
            <w:pPr>
              <w:jc w:val="both"/>
              <w:rPr>
                <w:rFonts w:asciiTheme="minorHAnsi" w:hAnsiTheme="minorHAnsi" w:cstheme="minorHAnsi"/>
                <w:sz w:val="24"/>
                <w:szCs w:val="24"/>
              </w:rPr>
            </w:pPr>
          </w:p>
        </w:tc>
      </w:tr>
    </w:tbl>
    <w:p w:rsidR="00606798" w:rsidRDefault="00606798" w:rsidP="00606798">
      <w:pPr>
        <w:pStyle w:val="Heading1"/>
      </w:pPr>
      <w:bookmarkStart w:id="13" w:name="_Toc389728976"/>
      <w:r>
        <w:t>SECTION II—OPERATIONAL STANDARDS</w:t>
      </w:r>
      <w:bookmarkEnd w:id="13"/>
    </w:p>
    <w:p w:rsidR="00606798" w:rsidRPr="008A7A69" w:rsidRDefault="00606798" w:rsidP="00E41FC0">
      <w:pPr>
        <w:pStyle w:val="Heading2"/>
        <w:spacing w:before="120"/>
      </w:pPr>
      <w:bookmarkStart w:id="14" w:name="_Toc389728977"/>
      <w:r>
        <w:t>Chapter 15—Patrol Function</w:t>
      </w:r>
      <w:bookmarkEnd w:id="14"/>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6A0B35">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10</w:t>
            </w:r>
          </w:p>
        </w:tc>
        <w:tc>
          <w:tcPr>
            <w:tcW w:w="2070"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20943927"/>
                <w:placeholder>
                  <w:docPart w:val="555DE6C8612F483998B3FF92CAE88321"/>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6A0B35">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12</w:t>
            </w:r>
          </w:p>
        </w:tc>
        <w:tc>
          <w:tcPr>
            <w:tcW w:w="2070"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74374939"/>
                <w:placeholder>
                  <w:docPart w:val="CFC8FBDE880E4A7592DD77FEDAC0183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7994" w:type="dxa"/>
          </w:tcPr>
          <w:p w:rsidR="00DB0C14" w:rsidRDefault="004D5E3A"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responding to and investigating domestic violence calls.</w:t>
            </w:r>
            <w:r w:rsidR="00DB0C14">
              <w:rPr>
                <w:rFonts w:asciiTheme="minorHAnsi" w:hAnsiTheme="minorHAnsi" w:cstheme="minorHAnsi"/>
                <w:sz w:val="24"/>
                <w:szCs w:val="24"/>
              </w:rPr>
              <w:t xml:space="preserve"> </w:t>
            </w:r>
          </w:p>
          <w:p w:rsidR="00DB0C14" w:rsidRDefault="00DB0C14" w:rsidP="002D1FC9">
            <w:pPr>
              <w:jc w:val="both"/>
              <w:rPr>
                <w:rFonts w:asciiTheme="minorHAnsi" w:hAnsiTheme="minorHAnsi" w:cstheme="minorHAnsi"/>
                <w:sz w:val="24"/>
                <w:szCs w:val="24"/>
              </w:rPr>
            </w:pPr>
          </w:p>
          <w:p w:rsidR="00606798" w:rsidRPr="00881C5D" w:rsidRDefault="00DB0C14" w:rsidP="002D1FC9">
            <w:pPr>
              <w:jc w:val="both"/>
              <w:rPr>
                <w:rFonts w:asciiTheme="minorHAnsi" w:hAnsiTheme="minorHAnsi" w:cstheme="minorHAnsi"/>
                <w:i/>
                <w:iCs/>
                <w:sz w:val="24"/>
                <w:szCs w:val="24"/>
              </w:rPr>
            </w:pPr>
            <w:r>
              <w:rPr>
                <w:rFonts w:asciiTheme="minorHAnsi" w:hAnsiTheme="minorHAnsi" w:cstheme="minorHAnsi"/>
                <w:b/>
                <w:bCs/>
                <w:i/>
                <w:sz w:val="24"/>
                <w:szCs w:val="24"/>
              </w:rPr>
              <w:t>P</w:t>
            </w:r>
            <w:r w:rsidR="004D5E3A" w:rsidRPr="00881C5D">
              <w:rPr>
                <w:rFonts w:asciiTheme="minorHAnsi" w:hAnsiTheme="minorHAnsi" w:cstheme="minorHAnsi"/>
                <w:b/>
                <w:bCs/>
                <w:i/>
                <w:sz w:val="24"/>
                <w:szCs w:val="24"/>
              </w:rPr>
              <w:t>urpose:</w:t>
            </w:r>
            <w:r w:rsidR="00EE2D07">
              <w:rPr>
                <w:rFonts w:asciiTheme="minorHAnsi" w:hAnsiTheme="minorHAnsi" w:cstheme="minorHAnsi"/>
                <w:b/>
                <w:bCs/>
                <w:i/>
                <w:sz w:val="24"/>
                <w:szCs w:val="24"/>
              </w:rPr>
              <w:t xml:space="preserve"> </w:t>
            </w:r>
            <w:r w:rsidR="004D5E3A" w:rsidRPr="00881C5D">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881C5D" w:rsidRDefault="00A0311A" w:rsidP="002D1FC9">
            <w:pPr>
              <w:jc w:val="both"/>
              <w:rPr>
                <w:rFonts w:asciiTheme="minorHAnsi" w:hAnsiTheme="minorHAnsi" w:cstheme="minorHAnsi"/>
                <w:sz w:val="24"/>
                <w:szCs w:val="24"/>
              </w:rPr>
            </w:pPr>
          </w:p>
        </w:tc>
      </w:tr>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7994" w:type="dxa"/>
          </w:tcPr>
          <w:p w:rsidR="004D5E3A" w:rsidRPr="00881C5D" w:rsidRDefault="004D5E3A" w:rsidP="004D5E3A">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4D5E3A" w:rsidRPr="00881C5D" w:rsidRDefault="004D5E3A" w:rsidP="004D5E3A">
            <w:pPr>
              <w:pStyle w:val="ListParagraph"/>
              <w:jc w:val="both"/>
              <w:rPr>
                <w:rFonts w:asciiTheme="minorHAnsi" w:hAnsiTheme="minorHAnsi" w:cstheme="minorHAnsi"/>
                <w:sz w:val="24"/>
                <w:szCs w:val="24"/>
              </w:rPr>
            </w:pPr>
          </w:p>
          <w:p w:rsidR="00606798" w:rsidRPr="00881C5D" w:rsidRDefault="004D5E3A"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p w:rsidR="00A0311A" w:rsidRPr="00881C5D" w:rsidRDefault="00A0311A" w:rsidP="002D1FC9">
            <w:pPr>
              <w:jc w:val="both"/>
              <w:rPr>
                <w:rFonts w:asciiTheme="minorHAnsi" w:hAnsiTheme="minorHAnsi" w:cstheme="minorHAnsi"/>
                <w:sz w:val="24"/>
                <w:szCs w:val="24"/>
              </w:rPr>
            </w:pPr>
          </w:p>
        </w:tc>
      </w:tr>
      <w:tr w:rsidR="00DB0C14" w:rsidTr="00AD78C6">
        <w:tc>
          <w:tcPr>
            <w:tcW w:w="808" w:type="dxa"/>
          </w:tcPr>
          <w:p w:rsidR="00DB0C14" w:rsidRDefault="00DB0C14" w:rsidP="005B3A8D">
            <w:pPr>
              <w:jc w:val="both"/>
              <w:rPr>
                <w:rFonts w:asciiTheme="minorHAnsi" w:hAnsiTheme="minorHAnsi" w:cstheme="minorHAnsi"/>
                <w:sz w:val="24"/>
                <w:szCs w:val="24"/>
              </w:rPr>
            </w:pPr>
          </w:p>
          <w:p w:rsidR="00DB0C14" w:rsidRDefault="00DB0C14" w:rsidP="005B3A8D">
            <w:pPr>
              <w:jc w:val="both"/>
              <w:rPr>
                <w:rFonts w:asciiTheme="minorHAnsi" w:hAnsiTheme="minorHAnsi" w:cstheme="minorHAnsi"/>
                <w:sz w:val="24"/>
                <w:szCs w:val="24"/>
              </w:rPr>
            </w:pPr>
          </w:p>
          <w:p w:rsidR="00DB0C14" w:rsidRDefault="004A36F9" w:rsidP="005B3A8D">
            <w:pPr>
              <w:jc w:val="both"/>
              <w:rPr>
                <w:rFonts w:asciiTheme="minorHAnsi" w:hAnsiTheme="minorHAnsi" w:cstheme="minorHAnsi"/>
                <w:sz w:val="24"/>
                <w:szCs w:val="24"/>
              </w:rPr>
            </w:pPr>
            <w:r>
              <w:rPr>
                <w:rFonts w:asciiTheme="minorHAnsi" w:hAnsiTheme="minorHAnsi" w:cstheme="minorHAnsi"/>
                <w:sz w:val="24"/>
                <w:szCs w:val="24"/>
              </w:rPr>
              <w:t>15.10</w:t>
            </w:r>
          </w:p>
          <w:p w:rsidR="00DB0C14" w:rsidRPr="00881C5D" w:rsidRDefault="00DB0C14" w:rsidP="005B3A8D">
            <w:pPr>
              <w:jc w:val="both"/>
              <w:rPr>
                <w:rFonts w:asciiTheme="minorHAnsi" w:hAnsiTheme="minorHAnsi" w:cstheme="minorHAnsi"/>
                <w:sz w:val="24"/>
                <w:szCs w:val="24"/>
              </w:rPr>
            </w:pPr>
          </w:p>
        </w:tc>
        <w:tc>
          <w:tcPr>
            <w:tcW w:w="7994" w:type="dxa"/>
          </w:tcPr>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r>
              <w:rPr>
                <w:rFonts w:asciiTheme="minorHAnsi" w:hAnsiTheme="minorHAnsi" w:cstheme="minorHAnsi"/>
                <w:bCs/>
                <w:sz w:val="24"/>
                <w:szCs w:val="24"/>
              </w:rPr>
              <w:t>Th</w:t>
            </w:r>
            <w:r w:rsidRPr="00DB0C14">
              <w:rPr>
                <w:rFonts w:asciiTheme="minorHAnsi" w:hAnsiTheme="minorHAnsi" w:cstheme="minorHAnsi"/>
                <w:bCs/>
                <w:sz w:val="24"/>
                <w:szCs w:val="24"/>
              </w:rPr>
              <w:t>e agency has a policy that addresses referral of subjects to a mental health agency after receiving a report of threatened or attempted suicide</w:t>
            </w:r>
          </w:p>
          <w:p w:rsidR="00DB0C14" w:rsidRPr="00DB0C14" w:rsidRDefault="00DB0C14" w:rsidP="00DB0C14">
            <w:pPr>
              <w:jc w:val="both"/>
              <w:rPr>
                <w:rFonts w:asciiTheme="minorHAnsi" w:hAnsiTheme="minorHAnsi" w:cstheme="minorHAnsi"/>
                <w:bCs/>
                <w:sz w:val="24"/>
                <w:szCs w:val="24"/>
              </w:rPr>
            </w:pPr>
          </w:p>
          <w:p w:rsidR="00DB0C14" w:rsidRDefault="00DB0C14" w:rsidP="004D5E3A">
            <w:pPr>
              <w:jc w:val="both"/>
              <w:rPr>
                <w:rFonts w:asciiTheme="minorHAnsi" w:hAnsiTheme="minorHAnsi" w:cstheme="minorHAnsi"/>
                <w:bCs/>
                <w:i/>
                <w:sz w:val="24"/>
                <w:szCs w:val="24"/>
              </w:rPr>
            </w:pPr>
            <w:r w:rsidRPr="00DB0C14">
              <w:rPr>
                <w:rFonts w:asciiTheme="minorHAnsi" w:hAnsiTheme="minorHAnsi" w:cstheme="minorHAnsi"/>
                <w:b/>
                <w:bCs/>
                <w:i/>
                <w:sz w:val="24"/>
                <w:szCs w:val="24"/>
              </w:rPr>
              <w:t>Purpose:</w:t>
            </w:r>
            <w:r w:rsidRPr="00DB0C14">
              <w:rPr>
                <w:rFonts w:asciiTheme="minorHAnsi" w:hAnsiTheme="minorHAnsi" w:cstheme="minorHAnsi"/>
                <w:bCs/>
                <w:i/>
                <w:sz w:val="24"/>
                <w:szCs w:val="24"/>
              </w:rPr>
              <w:t xml:space="preserve"> To comply with RCW 71.05.457.</w:t>
            </w:r>
          </w:p>
          <w:p w:rsidR="004A36F9" w:rsidRPr="00DB0C14" w:rsidRDefault="004A36F9" w:rsidP="004D5E3A">
            <w:pPr>
              <w:jc w:val="both"/>
              <w:rPr>
                <w:rFonts w:asciiTheme="minorHAnsi" w:hAnsiTheme="minorHAnsi" w:cstheme="minorHAnsi"/>
                <w:bCs/>
                <w:i/>
                <w:sz w:val="24"/>
                <w:szCs w:val="24"/>
              </w:rPr>
            </w:pPr>
          </w:p>
        </w:tc>
      </w:tr>
      <w:tr w:rsidR="00DB0C14" w:rsidTr="00DB0C14">
        <w:trPr>
          <w:trHeight w:val="342"/>
        </w:trPr>
        <w:tc>
          <w:tcPr>
            <w:tcW w:w="808" w:type="dxa"/>
          </w:tcPr>
          <w:p w:rsidR="00DB0C14" w:rsidRPr="00881C5D" w:rsidRDefault="00DB0C14" w:rsidP="005B3A8D">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B0C14" w:rsidRPr="00881C5D" w:rsidRDefault="00DB0C14" w:rsidP="004D5E3A">
            <w:pPr>
              <w:jc w:val="both"/>
              <w:rPr>
                <w:rFonts w:asciiTheme="minorHAnsi" w:hAnsiTheme="minorHAnsi" w:cstheme="minorHAnsi"/>
                <w:sz w:val="24"/>
                <w:szCs w:val="24"/>
              </w:rPr>
            </w:pPr>
            <w:r w:rsidRPr="00DB0C14">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82703A">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82703A">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406292" w:rsidRPr="00881C5D" w:rsidRDefault="00406292" w:rsidP="00406292">
            <w:pPr>
              <w:jc w:val="both"/>
              <w:rPr>
                <w:rFonts w:asciiTheme="minorHAnsi" w:hAnsiTheme="minorHAnsi" w:cstheme="minorHAnsi"/>
                <w:sz w:val="24"/>
                <w:szCs w:val="24"/>
              </w:rPr>
            </w:pPr>
          </w:p>
          <w:p w:rsidR="00320106"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16.6</w:t>
            </w:r>
          </w:p>
        </w:tc>
        <w:tc>
          <w:tcPr>
            <w:tcW w:w="7724"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p w:rsidR="00A0311A" w:rsidRPr="00881C5D" w:rsidRDefault="00A0311A" w:rsidP="002D1FC9">
            <w:pPr>
              <w:jc w:val="both"/>
              <w:rPr>
                <w:rFonts w:asciiTheme="minorHAnsi" w:hAnsiTheme="minorHAnsi" w:cstheme="minorHAnsi"/>
                <w:sz w:val="24"/>
                <w:szCs w:val="24"/>
              </w:rPr>
            </w:pPr>
          </w:p>
        </w:tc>
      </w:tr>
      <w:tr w:rsidR="00606798"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406292" w:rsidRPr="00881C5D" w:rsidRDefault="00406292" w:rsidP="00406292">
            <w:pPr>
              <w:pStyle w:val="ListParagraph"/>
              <w:ind w:left="936"/>
              <w:jc w:val="both"/>
              <w:rPr>
                <w:rFonts w:asciiTheme="minorHAnsi" w:hAnsiTheme="minorHAnsi" w:cstheme="minorHAnsi"/>
                <w:sz w:val="24"/>
                <w:szCs w:val="24"/>
              </w:rPr>
            </w:pPr>
          </w:p>
          <w:p w:rsidR="00606798" w:rsidRPr="00881C5D" w:rsidRDefault="00406292" w:rsidP="00406292">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881C5D" w:rsidRDefault="00A0311A" w:rsidP="00406292">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r w:rsidRPr="00881C5D">
              <w:rPr>
                <w:rFonts w:asciiTheme="minorHAnsi" w:hAnsiTheme="minorHAnsi" w:cstheme="minorHAnsi"/>
                <w:sz w:val="24"/>
                <w:szCs w:val="24"/>
              </w:rPr>
              <w:t>*</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E41FC0" w:rsidRPr="00881C5D" w:rsidTr="00E41FC0">
        <w:tc>
          <w:tcPr>
            <w:tcW w:w="900" w:type="dxa"/>
            <w:shd w:val="clear" w:color="auto" w:fill="F2F2F2" w:themeFill="background1" w:themeFillShade="F2"/>
          </w:tcPr>
          <w:p w:rsidR="00E41FC0" w:rsidRPr="00881C5D" w:rsidRDefault="00E41FC0" w:rsidP="005B3A8D">
            <w:pPr>
              <w:spacing w:after="120"/>
              <w:jc w:val="both"/>
              <w:rPr>
                <w:rFonts w:asciiTheme="minorHAnsi" w:hAnsiTheme="minorHAnsi" w:cstheme="minorHAnsi"/>
                <w:sz w:val="24"/>
                <w:szCs w:val="24"/>
              </w:rPr>
            </w:pPr>
            <w:r>
              <w:rPr>
                <w:rFonts w:asciiTheme="minorHAnsi" w:hAnsiTheme="minorHAnsi" w:cstheme="minorHAnsi"/>
                <w:sz w:val="24"/>
                <w:szCs w:val="24"/>
              </w:rPr>
              <w:t>17.2</w:t>
            </w:r>
            <w:r w:rsidR="005B3A8D">
              <w:rPr>
                <w:rFonts w:asciiTheme="minorHAnsi" w:hAnsiTheme="minorHAnsi" w:cstheme="minorHAnsi"/>
                <w:sz w:val="24"/>
                <w:szCs w:val="24"/>
              </w:rPr>
              <w:t>1</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E41FC0" w:rsidRPr="00881C5D" w:rsidRDefault="00E41FC0"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08172380"/>
                <w:placeholder>
                  <w:docPart w:val="BCF659626EE3430FAE3D85618F5F700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DB0C14" w:rsidRPr="00881C5D" w:rsidTr="00E41FC0">
        <w:tc>
          <w:tcPr>
            <w:tcW w:w="900" w:type="dxa"/>
            <w:shd w:val="clear" w:color="auto" w:fill="F2F2F2" w:themeFill="background1" w:themeFillShade="F2"/>
          </w:tcPr>
          <w:p w:rsidR="00DB0C14" w:rsidRPr="00881C5D" w:rsidRDefault="00DB0C14" w:rsidP="00DB0C14">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DB0C14" w:rsidRPr="00881C5D" w:rsidRDefault="00DB0C14" w:rsidP="00DB0C1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B0C14" w:rsidRPr="00881C5D" w:rsidRDefault="00DB0C14" w:rsidP="00DB0C14">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47803822"/>
                <w:placeholder>
                  <w:docPart w:val="BC5A617D07E24E14B0B7042287430E26"/>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DB0C14" w:rsidRPr="00881C5D" w:rsidTr="00DB0C14">
        <w:tc>
          <w:tcPr>
            <w:tcW w:w="900" w:type="dxa"/>
            <w:shd w:val="clear" w:color="auto" w:fill="F2F2F2" w:themeFill="background1" w:themeFillShade="F2"/>
          </w:tcPr>
          <w:p w:rsidR="00DB0C14" w:rsidRPr="00881C5D" w:rsidRDefault="00DB0C14" w:rsidP="00DB0C14">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DB0C14" w:rsidRPr="00881C5D" w:rsidRDefault="00DB0C14" w:rsidP="00DB0C1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B0C14" w:rsidRPr="00881C5D" w:rsidRDefault="00DB0C14" w:rsidP="00DB0C14">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79549089"/>
                <w:placeholder>
                  <w:docPart w:val="25269C132AEC4CB2B76628B2D4394365"/>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tabs>
                <w:tab w:val="left" w:pos="6"/>
              </w:tabs>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17.5</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7649" w:type="dxa"/>
          </w:tcPr>
          <w:p w:rsidR="00606798" w:rsidRPr="00881C5D" w:rsidRDefault="00406292" w:rsidP="002D1FC9">
            <w:pPr>
              <w:pStyle w:val="ListParagraph"/>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881C5D"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7649" w:type="dxa"/>
          </w:tcPr>
          <w:p w:rsidR="000C7A55" w:rsidRDefault="000C7A55" w:rsidP="000C7A55">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0C7A55" w:rsidP="000C7A55">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0C7A55" w:rsidRPr="00881C5D" w:rsidRDefault="000C7A55" w:rsidP="000C7A55">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406292" w:rsidRPr="00881C5D" w:rsidRDefault="00406292" w:rsidP="00406292">
            <w:pPr>
              <w:pStyle w:val="ListParagraph"/>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7649"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the release and disposition of property and evidence in accordance with applicable state law.</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406292" w:rsidRPr="00881C5D" w:rsidRDefault="00406292" w:rsidP="00406292">
            <w:pPr>
              <w:ind w:left="720" w:hanging="900"/>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lastRenderedPageBreak/>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7</w:t>
            </w:r>
          </w:p>
        </w:tc>
        <w:tc>
          <w:tcPr>
            <w:tcW w:w="7649"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406292" w:rsidRPr="00881C5D" w:rsidRDefault="00406292" w:rsidP="00406292">
            <w:pPr>
              <w:pStyle w:val="ListParagraph"/>
              <w:tabs>
                <w:tab w:val="left" w:pos="4008"/>
              </w:tabs>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r w:rsidRPr="00881C5D">
              <w:rPr>
                <w:rFonts w:asciiTheme="minorHAnsi" w:hAnsiTheme="minorHAnsi" w:cstheme="minorHAnsi"/>
                <w:sz w:val="24"/>
                <w:szCs w:val="24"/>
              </w:rPr>
              <w:t>*</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406292" w:rsidRPr="00881C5D" w:rsidRDefault="00406292" w:rsidP="00406292">
            <w:pPr>
              <w:ind w:left="720"/>
              <w:jc w:val="both"/>
              <w:rPr>
                <w:rFonts w:asciiTheme="minorHAnsi" w:hAnsiTheme="minorHAnsi" w:cstheme="minorHAnsi"/>
                <w: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p w:rsidR="00A0311A" w:rsidRPr="00881C5D" w:rsidRDefault="00A0311A" w:rsidP="002D1FC9">
            <w:pPr>
              <w:jc w:val="both"/>
              <w:rPr>
                <w:rFonts w:asciiTheme="minorHAnsi" w:hAnsiTheme="minorHAnsi" w:cstheme="minorHAnsi"/>
                <w:sz w:val="24"/>
                <w:szCs w:val="24"/>
              </w:rPr>
            </w:pPr>
          </w:p>
        </w:tc>
      </w:tr>
      <w:tr w:rsidR="00E41FC0" w:rsidRPr="00881C5D" w:rsidTr="0082703A">
        <w:tc>
          <w:tcPr>
            <w:tcW w:w="883" w:type="dxa"/>
          </w:tcPr>
          <w:p w:rsidR="00E41FC0" w:rsidRPr="00E41FC0" w:rsidRDefault="00E41FC0" w:rsidP="005B3A8D">
            <w:pPr>
              <w:jc w:val="both"/>
              <w:rPr>
                <w:rFonts w:asciiTheme="minorHAnsi" w:hAnsiTheme="minorHAnsi" w:cstheme="minorHAnsi"/>
                <w:sz w:val="24"/>
                <w:szCs w:val="24"/>
              </w:rPr>
            </w:pPr>
            <w:r w:rsidRPr="00E41FC0">
              <w:rPr>
                <w:rFonts w:asciiTheme="minorHAnsi" w:hAnsiTheme="minorHAnsi" w:cstheme="minorHAnsi"/>
                <w:sz w:val="24"/>
                <w:szCs w:val="24"/>
              </w:rPr>
              <w:t>17.2</w:t>
            </w:r>
            <w:r w:rsidR="005B3A8D">
              <w:rPr>
                <w:rFonts w:asciiTheme="minorHAnsi" w:hAnsiTheme="minorHAnsi" w:cstheme="minorHAnsi"/>
                <w:sz w:val="24"/>
                <w:szCs w:val="24"/>
              </w:rPr>
              <w:t>1</w:t>
            </w:r>
            <w:r w:rsidR="004A36F9">
              <w:rPr>
                <w:rFonts w:asciiTheme="minorHAnsi" w:hAnsiTheme="minorHAnsi" w:cstheme="minorHAnsi"/>
                <w:sz w:val="24"/>
                <w:szCs w:val="24"/>
              </w:rPr>
              <w:t>*</w:t>
            </w:r>
          </w:p>
        </w:tc>
        <w:tc>
          <w:tcPr>
            <w:tcW w:w="7649" w:type="dxa"/>
          </w:tcPr>
          <w:p w:rsidR="00E41FC0" w:rsidRPr="00E41FC0" w:rsidRDefault="00E41FC0" w:rsidP="00E41FC0">
            <w:pPr>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p w:rsidR="00E41FC0" w:rsidRPr="00881C5D" w:rsidRDefault="00E41FC0" w:rsidP="00406292">
            <w:pPr>
              <w:jc w:val="both"/>
              <w:rPr>
                <w:rFonts w:asciiTheme="minorHAnsi" w:hAnsiTheme="minorHAnsi" w:cstheme="minorHAnsi"/>
                <w:sz w:val="24"/>
                <w:szCs w:val="24"/>
              </w:rPr>
            </w:pPr>
          </w:p>
        </w:tc>
      </w:tr>
      <w:tr w:rsidR="00851B6F" w:rsidRPr="00881C5D" w:rsidTr="0082703A">
        <w:tc>
          <w:tcPr>
            <w:tcW w:w="883" w:type="dxa"/>
          </w:tcPr>
          <w:p w:rsidR="00851B6F" w:rsidRPr="00E41FC0" w:rsidRDefault="00851B6F" w:rsidP="005B3A8D">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851B6F" w:rsidRPr="00851B6F" w:rsidRDefault="00851B6F" w:rsidP="00851B6F">
            <w:pPr>
              <w:jc w:val="both"/>
              <w:rPr>
                <w:rFonts w:asciiTheme="minorHAnsi" w:hAnsiTheme="minorHAnsi" w:cstheme="minorHAnsi"/>
                <w:bCs/>
                <w:sz w:val="24"/>
                <w:szCs w:val="24"/>
              </w:rPr>
            </w:pPr>
            <w:r w:rsidRPr="00851B6F">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851B6F" w:rsidRPr="00851B6F" w:rsidRDefault="00851B6F" w:rsidP="00851B6F">
            <w:pPr>
              <w:jc w:val="both"/>
              <w:rPr>
                <w:rFonts w:asciiTheme="minorHAnsi" w:hAnsiTheme="minorHAnsi" w:cstheme="minorHAnsi"/>
                <w:bCs/>
                <w:sz w:val="24"/>
                <w:szCs w:val="24"/>
              </w:rPr>
            </w:pPr>
          </w:p>
          <w:p w:rsidR="00851B6F" w:rsidRPr="00851B6F" w:rsidRDefault="00851B6F" w:rsidP="00851B6F">
            <w:pPr>
              <w:jc w:val="both"/>
              <w:rPr>
                <w:rFonts w:asciiTheme="minorHAnsi" w:hAnsiTheme="minorHAnsi" w:cstheme="minorHAnsi"/>
                <w:bCs/>
                <w:i/>
                <w:sz w:val="24"/>
                <w:szCs w:val="24"/>
              </w:rPr>
            </w:pPr>
            <w:r w:rsidRPr="00851B6F">
              <w:rPr>
                <w:rFonts w:asciiTheme="minorHAnsi" w:hAnsiTheme="minorHAnsi" w:cstheme="minorHAnsi"/>
                <w:b/>
                <w:bCs/>
                <w:i/>
                <w:sz w:val="24"/>
                <w:szCs w:val="24"/>
              </w:rPr>
              <w:t>Purpose:</w:t>
            </w:r>
            <w:r w:rsidRPr="00851B6F">
              <w:rPr>
                <w:rFonts w:asciiTheme="minorHAnsi" w:hAnsiTheme="minorHAnsi" w:cstheme="minorHAnsi"/>
                <w:bCs/>
                <w:i/>
                <w:sz w:val="24"/>
                <w:szCs w:val="24"/>
              </w:rPr>
              <w:t xml:space="preserve"> Surrendered firearms are only returned if they are not required to be held, are not prohibited from</w:t>
            </w:r>
            <w:r w:rsidR="006A31D5">
              <w:rPr>
                <w:rFonts w:asciiTheme="minorHAnsi" w:hAnsiTheme="minorHAnsi" w:cstheme="minorHAnsi"/>
                <w:bCs/>
                <w:i/>
                <w:sz w:val="24"/>
                <w:szCs w:val="24"/>
              </w:rPr>
              <w:t xml:space="preserve"> being released, </w:t>
            </w:r>
            <w:r w:rsidRPr="00851B6F">
              <w:rPr>
                <w:rFonts w:asciiTheme="minorHAnsi" w:hAnsiTheme="minorHAnsi" w:cstheme="minorHAnsi"/>
                <w:bCs/>
                <w:i/>
                <w:sz w:val="24"/>
                <w:szCs w:val="24"/>
              </w:rPr>
              <w:t>and are only released to persons who are eligible to possess them.  If a firearm cannot be released, the agency provides written notice to the requestor specifying the reason(s) the firearm cannot be released within five business day</w:t>
            </w:r>
            <w:r w:rsidR="006A31D5">
              <w:rPr>
                <w:rFonts w:asciiTheme="minorHAnsi" w:hAnsiTheme="minorHAnsi" w:cstheme="minorHAnsi"/>
                <w:bCs/>
                <w:i/>
                <w:sz w:val="24"/>
                <w:szCs w:val="24"/>
              </w:rPr>
              <w:t xml:space="preserve">s of receiving the request. </w:t>
            </w:r>
            <w:r w:rsidRPr="00851B6F">
              <w:rPr>
                <w:rFonts w:asciiTheme="minorHAnsi" w:hAnsiTheme="minorHAnsi" w:cstheme="minorHAnsi"/>
                <w:bCs/>
                <w:i/>
                <w:sz w:val="24"/>
                <w:szCs w:val="24"/>
              </w:rPr>
              <w:t>Surrendered firearms that are unclaimed are disposed of in accorda</w:t>
            </w:r>
            <w:r w:rsidR="006A31D5">
              <w:rPr>
                <w:rFonts w:asciiTheme="minorHAnsi" w:hAnsiTheme="minorHAnsi" w:cstheme="minorHAnsi"/>
                <w:bCs/>
                <w:i/>
                <w:sz w:val="24"/>
                <w:szCs w:val="24"/>
              </w:rPr>
              <w:t>nce with agency procedures.</w:t>
            </w:r>
          </w:p>
          <w:p w:rsidR="00851B6F" w:rsidRPr="00E41FC0" w:rsidRDefault="00851B6F" w:rsidP="00E41FC0">
            <w:pPr>
              <w:jc w:val="both"/>
              <w:rPr>
                <w:rFonts w:asciiTheme="minorHAnsi" w:hAnsiTheme="minorHAnsi" w:cstheme="minorHAnsi"/>
                <w:sz w:val="24"/>
                <w:szCs w:val="24"/>
              </w:rPr>
            </w:pPr>
          </w:p>
        </w:tc>
      </w:tr>
      <w:tr w:rsidR="00851B6F" w:rsidRPr="00881C5D" w:rsidTr="0082703A">
        <w:tc>
          <w:tcPr>
            <w:tcW w:w="883" w:type="dxa"/>
          </w:tcPr>
          <w:p w:rsidR="00851B6F" w:rsidRPr="00E41FC0" w:rsidRDefault="00851B6F" w:rsidP="005B3A8D">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851B6F" w:rsidRPr="00851B6F" w:rsidRDefault="00851B6F" w:rsidP="00851B6F">
            <w:pPr>
              <w:jc w:val="both"/>
              <w:rPr>
                <w:rFonts w:asciiTheme="minorHAnsi" w:hAnsiTheme="minorHAnsi" w:cstheme="minorHAnsi"/>
                <w:sz w:val="24"/>
                <w:szCs w:val="24"/>
              </w:rPr>
            </w:pPr>
            <w:r w:rsidRPr="00851B6F">
              <w:rPr>
                <w:rFonts w:asciiTheme="minorHAnsi" w:hAnsiTheme="minorHAnsi" w:cstheme="minorHAnsi"/>
                <w:sz w:val="24"/>
                <w:szCs w:val="24"/>
              </w:rPr>
              <w:t>The agency has policy complying with RCWs 7.94 and 9.41 for notification of family or household members when firearms held pursuant to a court order are released.</w:t>
            </w:r>
          </w:p>
          <w:p w:rsidR="00851B6F" w:rsidRPr="00851B6F" w:rsidRDefault="00851B6F" w:rsidP="00851B6F">
            <w:pPr>
              <w:jc w:val="both"/>
              <w:rPr>
                <w:rFonts w:asciiTheme="minorHAnsi" w:hAnsiTheme="minorHAnsi" w:cstheme="minorHAnsi"/>
                <w:sz w:val="24"/>
                <w:szCs w:val="24"/>
              </w:rPr>
            </w:pPr>
          </w:p>
          <w:p w:rsidR="00851B6F" w:rsidRPr="00851B6F" w:rsidRDefault="00851B6F" w:rsidP="004A36F9">
            <w:pPr>
              <w:jc w:val="both"/>
              <w:rPr>
                <w:rFonts w:asciiTheme="minorHAnsi" w:hAnsiTheme="minorHAnsi" w:cstheme="minorHAnsi"/>
                <w:i/>
                <w:sz w:val="24"/>
                <w:szCs w:val="24"/>
              </w:rPr>
            </w:pPr>
            <w:r w:rsidRPr="00851B6F">
              <w:rPr>
                <w:rFonts w:asciiTheme="minorHAnsi" w:hAnsiTheme="minorHAnsi" w:cstheme="minorHAnsi"/>
                <w:b/>
                <w:i/>
                <w:sz w:val="24"/>
                <w:szCs w:val="24"/>
              </w:rPr>
              <w:lastRenderedPageBreak/>
              <w:t>Purpose:</w:t>
            </w:r>
            <w:r w:rsidRPr="00851B6F">
              <w:rPr>
                <w:rFonts w:asciiTheme="minorHAnsi" w:hAnsiTheme="minorHAnsi" w:cstheme="minorHAnsi"/>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6A31D5">
              <w:rPr>
                <w:rFonts w:asciiTheme="minorHAnsi" w:hAnsiTheme="minorHAnsi" w:cstheme="minorHAnsi"/>
                <w:i/>
                <w:sz w:val="24"/>
                <w:szCs w:val="24"/>
              </w:rPr>
              <w:t xml:space="preserve"> </w:t>
            </w:r>
            <w:r w:rsidRPr="00851B6F">
              <w:rPr>
                <w:rFonts w:asciiTheme="minorHAnsi" w:hAnsiTheme="minorHAnsi" w:cstheme="minorHAnsi"/>
                <w:i/>
                <w:sz w:val="24"/>
                <w:szCs w:val="24"/>
              </w:rPr>
              <w:t>and then the firearm(s) are held in the agency’s custody for at least seventy-two hours after no</w:t>
            </w:r>
            <w:r w:rsidR="006A31D5">
              <w:rPr>
                <w:rFonts w:asciiTheme="minorHAnsi" w:hAnsiTheme="minorHAnsi" w:cstheme="minorHAnsi"/>
                <w:i/>
                <w:sz w:val="24"/>
                <w:szCs w:val="24"/>
              </w:rPr>
              <w:t xml:space="preserve">tification has been provided. </w:t>
            </w:r>
          </w:p>
        </w:tc>
      </w:tr>
    </w:tbl>
    <w:p w:rsidR="00320106" w:rsidRPr="008A7A69" w:rsidRDefault="00320106" w:rsidP="00320106">
      <w:pPr>
        <w:pStyle w:val="Heading2"/>
      </w:pPr>
      <w:bookmarkStart w:id="17" w:name="_Toc389728980"/>
      <w:r>
        <w:lastRenderedPageBreak/>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82703A">
        <w:tc>
          <w:tcPr>
            <w:tcW w:w="8568"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82703A">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6666A2">
              <w:rPr>
                <w:rFonts w:asciiTheme="minorHAnsi" w:hAnsiTheme="minorHAnsi" w:cstheme="minorHAnsi"/>
                <w:sz w:val="24"/>
                <w:szCs w:val="24"/>
              </w:rPr>
            </w:r>
            <w:r w:rsidR="006666A2">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Tr="0082703A">
        <w:trPr>
          <w:trHeight w:val="2349"/>
        </w:trPr>
        <w:tc>
          <w:tcPr>
            <w:tcW w:w="803"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7729"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DD2736" w:rsidRPr="00E41FC0" w:rsidRDefault="00E41FC0"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E41FC0" w:rsidRPr="00E41FC0" w:rsidRDefault="00E41FC0" w:rsidP="00DD2736">
            <w:pPr>
              <w:ind w:left="720" w:hanging="720"/>
              <w:jc w:val="both"/>
              <w:rPr>
                <w:rFonts w:asciiTheme="minorHAnsi" w:hAnsiTheme="minorHAnsi" w:cstheme="minorHAnsi"/>
                <w:sz w:val="24"/>
                <w:szCs w:val="24"/>
              </w:rPr>
            </w:pP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DD2736"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are detained for no longer than 6 hours.</w:t>
            </w:r>
          </w:p>
          <w:p w:rsidR="00A0311A" w:rsidRPr="00E41FC0" w:rsidRDefault="00A0311A" w:rsidP="002D1FC9">
            <w:pPr>
              <w:jc w:val="both"/>
              <w:rPr>
                <w:rFonts w:asciiTheme="minorHAnsi" w:hAnsiTheme="minorHAnsi" w:cstheme="minorHAnsi"/>
                <w:strike/>
                <w:sz w:val="24"/>
                <w:szCs w:val="24"/>
              </w:rPr>
            </w:pP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A2" w:rsidRDefault="006666A2">
      <w:r>
        <w:separator/>
      </w:r>
    </w:p>
  </w:endnote>
  <w:endnote w:type="continuationSeparator" w:id="0">
    <w:p w:rsidR="006666A2" w:rsidRDefault="006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Default="006666A2">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DB0C14">
          <w:rPr>
            <w:rFonts w:asciiTheme="majorHAnsi" w:eastAsiaTheme="majorEastAsia" w:hAnsiTheme="majorHAnsi" w:cstheme="majorBidi"/>
          </w:rPr>
          <w:t>[Type text]</w:t>
        </w:r>
      </w:sdtContent>
    </w:sdt>
    <w:r w:rsidR="00DB0C14">
      <w:rPr>
        <w:rFonts w:asciiTheme="majorHAnsi" w:eastAsiaTheme="majorEastAsia" w:hAnsiTheme="majorHAnsi" w:cstheme="majorBidi"/>
      </w:rPr>
      <w:ptab w:relativeTo="margin" w:alignment="right" w:leader="none"/>
    </w:r>
    <w:r w:rsidR="00DB0C14">
      <w:rPr>
        <w:rFonts w:asciiTheme="majorHAnsi" w:eastAsiaTheme="majorEastAsia" w:hAnsiTheme="majorHAnsi" w:cstheme="majorBidi"/>
      </w:rPr>
      <w:t xml:space="preserve">Page </w:t>
    </w:r>
    <w:r w:rsidR="00DB0C14">
      <w:rPr>
        <w:rFonts w:asciiTheme="minorHAnsi" w:eastAsiaTheme="minorEastAsia" w:hAnsiTheme="minorHAnsi" w:cstheme="minorBidi"/>
      </w:rPr>
      <w:fldChar w:fldCharType="begin"/>
    </w:r>
    <w:r w:rsidR="00DB0C14">
      <w:instrText xml:space="preserve"> PAGE   \* MERGEFORMAT </w:instrText>
    </w:r>
    <w:r w:rsidR="00DB0C14">
      <w:rPr>
        <w:rFonts w:asciiTheme="minorHAnsi" w:eastAsiaTheme="minorEastAsia" w:hAnsiTheme="minorHAnsi" w:cstheme="minorBidi"/>
      </w:rPr>
      <w:fldChar w:fldCharType="separate"/>
    </w:r>
    <w:r w:rsidR="00DB0C14" w:rsidRPr="005C0F56">
      <w:rPr>
        <w:rFonts w:asciiTheme="majorHAnsi" w:eastAsiaTheme="majorEastAsia" w:hAnsiTheme="majorHAnsi" w:cstheme="majorBidi"/>
        <w:noProof/>
      </w:rPr>
      <w:t>4</w:t>
    </w:r>
    <w:r w:rsidR="00DB0C14">
      <w:rPr>
        <w:rFonts w:asciiTheme="majorHAnsi" w:eastAsiaTheme="majorEastAsia" w:hAnsiTheme="majorHAnsi" w:cstheme="majorBidi"/>
        <w:noProof/>
      </w:rPr>
      <w:fldChar w:fldCharType="end"/>
    </w:r>
    <w:r w:rsidR="00DB0C14">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B0C14">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DB0C14">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Pr="000E47DC" w:rsidRDefault="00DB0C14" w:rsidP="000E47DC">
    <w:pPr>
      <w:jc w:val="center"/>
      <w:rPr>
        <w:rFonts w:ascii="Times New Roman" w:eastAsiaTheme="minorHAnsi" w:hAnsi="Times New Roman"/>
        <w:color w:val="44546A"/>
      </w:rPr>
    </w:pPr>
    <w:r>
      <w:rPr>
        <w:rFonts w:ascii="Times New Roman" w:hAnsi="Times New Roman"/>
        <w:color w:val="44546A"/>
      </w:rPr>
      <w:t>Copyright © 2018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A2" w:rsidRDefault="006666A2">
      <w:r>
        <w:separator/>
      </w:r>
    </w:p>
  </w:footnote>
  <w:footnote w:type="continuationSeparator" w:id="0">
    <w:p w:rsidR="006666A2" w:rsidRDefault="006666A2">
      <w:r>
        <w:separator/>
      </w:r>
    </w:p>
  </w:footnote>
  <w:footnote w:type="continuationNotice" w:id="1">
    <w:p w:rsidR="006666A2" w:rsidRDefault="006666A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Default="00DB0C14">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DB0C14" w:rsidRDefault="00DB0C14">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Default="00DB0C14">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14" w:rsidRDefault="00DB0C14">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B0C14" w:rsidRDefault="00DB0C14">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DB0C14" w:rsidRDefault="00DB0C14">
                          <w:pPr>
                            <w:spacing w:after="0" w:line="240" w:lineRule="auto"/>
                            <w:rPr>
                              <w:color w:val="FFFFFF" w:themeColor="background1"/>
                            </w:rPr>
                          </w:pPr>
                          <w:r>
                            <w:fldChar w:fldCharType="begin"/>
                          </w:r>
                          <w:r>
                            <w:instrText xml:space="preserve"> PAGE   \* MERGEFORMAT </w:instrText>
                          </w:r>
                          <w:r>
                            <w:fldChar w:fldCharType="separate"/>
                          </w:r>
                          <w:r w:rsidR="00674335" w:rsidRPr="00674335">
                            <w:rPr>
                              <w:noProof/>
                              <w:color w:val="FFFFFF" w:themeColor="background1"/>
                            </w:rPr>
                            <w:t>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DB0C14" w:rsidRDefault="00DB0C14">
                    <w:pPr>
                      <w:spacing w:after="0" w:line="240" w:lineRule="auto"/>
                      <w:rPr>
                        <w:color w:val="FFFFFF" w:themeColor="background1"/>
                      </w:rPr>
                    </w:pPr>
                    <w:r>
                      <w:fldChar w:fldCharType="begin"/>
                    </w:r>
                    <w:r>
                      <w:instrText xml:space="preserve"> PAGE   \* MERGEFORMAT </w:instrText>
                    </w:r>
                    <w:r>
                      <w:fldChar w:fldCharType="separate"/>
                    </w:r>
                    <w:r w:rsidR="00674335" w:rsidRPr="00674335">
                      <w:rPr>
                        <w:noProof/>
                        <w:color w:val="FFFFFF" w:themeColor="background1"/>
                      </w:rPr>
                      <w:t>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Pr="00355D86" w:rsidRDefault="00DB0C14"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DB0C14" w:rsidRDefault="00DB0C14"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DB0C14" w:rsidRPr="00355D86" w:rsidRDefault="00DB0C14"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DB0C14" w:rsidRPr="00355D86" w:rsidRDefault="00DB0C14"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DB0C14" w:rsidRDefault="00DB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140FB"/>
    <w:rsid w:val="00515EC0"/>
    <w:rsid w:val="00521FF5"/>
    <w:rsid w:val="005346C4"/>
    <w:rsid w:val="0054151D"/>
    <w:rsid w:val="0054794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60DF0"/>
    <w:rsid w:val="006666A2"/>
    <w:rsid w:val="00667555"/>
    <w:rsid w:val="00674335"/>
    <w:rsid w:val="006770CC"/>
    <w:rsid w:val="00683790"/>
    <w:rsid w:val="00683EEA"/>
    <w:rsid w:val="00697ACE"/>
    <w:rsid w:val="006A31D5"/>
    <w:rsid w:val="006B7F76"/>
    <w:rsid w:val="006D4134"/>
    <w:rsid w:val="006E6EA6"/>
    <w:rsid w:val="0070361A"/>
    <w:rsid w:val="00721855"/>
    <w:rsid w:val="00766AA4"/>
    <w:rsid w:val="007736E2"/>
    <w:rsid w:val="0078349D"/>
    <w:rsid w:val="00785966"/>
    <w:rsid w:val="007A50F0"/>
    <w:rsid w:val="007A5C3E"/>
    <w:rsid w:val="007D1A2C"/>
    <w:rsid w:val="007D7972"/>
    <w:rsid w:val="007E02D2"/>
    <w:rsid w:val="007F07AA"/>
    <w:rsid w:val="007F0B64"/>
    <w:rsid w:val="007F7369"/>
    <w:rsid w:val="008101EC"/>
    <w:rsid w:val="00816CE9"/>
    <w:rsid w:val="0082703A"/>
    <w:rsid w:val="00832B5F"/>
    <w:rsid w:val="00851B6F"/>
    <w:rsid w:val="00863BF5"/>
    <w:rsid w:val="0086654F"/>
    <w:rsid w:val="0087496F"/>
    <w:rsid w:val="00881C5D"/>
    <w:rsid w:val="008A60A2"/>
    <w:rsid w:val="008A7A69"/>
    <w:rsid w:val="008B3901"/>
    <w:rsid w:val="008C1E0D"/>
    <w:rsid w:val="008D353F"/>
    <w:rsid w:val="008F002B"/>
    <w:rsid w:val="008F02A1"/>
    <w:rsid w:val="008F786E"/>
    <w:rsid w:val="009213D9"/>
    <w:rsid w:val="00932071"/>
    <w:rsid w:val="009A119B"/>
    <w:rsid w:val="009A5FD6"/>
    <w:rsid w:val="009A7305"/>
    <w:rsid w:val="009B24DE"/>
    <w:rsid w:val="009C18F9"/>
    <w:rsid w:val="009E2489"/>
    <w:rsid w:val="009F69CB"/>
    <w:rsid w:val="00A0311A"/>
    <w:rsid w:val="00A10AC3"/>
    <w:rsid w:val="00A65BA0"/>
    <w:rsid w:val="00A6638B"/>
    <w:rsid w:val="00A7380B"/>
    <w:rsid w:val="00A82EB3"/>
    <w:rsid w:val="00AA4BD7"/>
    <w:rsid w:val="00AA79C8"/>
    <w:rsid w:val="00AC719D"/>
    <w:rsid w:val="00AD13DC"/>
    <w:rsid w:val="00AD5346"/>
    <w:rsid w:val="00AD78C6"/>
    <w:rsid w:val="00AF3B41"/>
    <w:rsid w:val="00B22C35"/>
    <w:rsid w:val="00B24627"/>
    <w:rsid w:val="00B25DD1"/>
    <w:rsid w:val="00B64864"/>
    <w:rsid w:val="00B66858"/>
    <w:rsid w:val="00B72078"/>
    <w:rsid w:val="00B75F8F"/>
    <w:rsid w:val="00B815A9"/>
    <w:rsid w:val="00B83896"/>
    <w:rsid w:val="00B9077E"/>
    <w:rsid w:val="00B946AD"/>
    <w:rsid w:val="00BA4CC6"/>
    <w:rsid w:val="00C260C9"/>
    <w:rsid w:val="00C30C86"/>
    <w:rsid w:val="00C368AF"/>
    <w:rsid w:val="00C378DB"/>
    <w:rsid w:val="00C41631"/>
    <w:rsid w:val="00C63B9D"/>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36F2"/>
    <w:rsid w:val="00EE2471"/>
    <w:rsid w:val="00EE2D07"/>
    <w:rsid w:val="00F01721"/>
    <w:rsid w:val="00F17702"/>
    <w:rsid w:val="00F22B42"/>
    <w:rsid w:val="00F24647"/>
    <w:rsid w:val="00F36644"/>
    <w:rsid w:val="00F37233"/>
    <w:rsid w:val="00F44E6E"/>
    <w:rsid w:val="00F61C9E"/>
    <w:rsid w:val="00F65732"/>
    <w:rsid w:val="00F67691"/>
    <w:rsid w:val="00F67986"/>
    <w:rsid w:val="00F73288"/>
    <w:rsid w:val="00F75EA4"/>
    <w:rsid w:val="00F82C06"/>
    <w:rsid w:val="00F96FDD"/>
    <w:rsid w:val="00FA4A9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14"/>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308B6D571EB04D7DB05DFED23092914C"/>
        <w:category>
          <w:name w:val="General"/>
          <w:gallery w:val="placeholder"/>
        </w:category>
        <w:types>
          <w:type w:val="bbPlcHdr"/>
        </w:types>
        <w:behaviors>
          <w:behavior w:val="content"/>
        </w:behaviors>
        <w:guid w:val="{A15AB79F-34BF-4870-B8CE-0EA5D4655B81}"/>
      </w:docPartPr>
      <w:docPartBody>
        <w:p w:rsidR="00E21C6C" w:rsidRDefault="004C2862" w:rsidP="004C2862">
          <w:pPr>
            <w:pStyle w:val="308B6D571EB04D7DB05DFED23092914C"/>
          </w:pPr>
          <w:r w:rsidRPr="00D34178">
            <w:rPr>
              <w:rStyle w:val="PlaceholderText"/>
            </w:rPr>
            <w:t>Click here to enter text.</w:t>
          </w:r>
        </w:p>
      </w:docPartBody>
    </w:docPart>
    <w:docPart>
      <w:docPartPr>
        <w:name w:val="BC5A617D07E24E14B0B7042287430E26"/>
        <w:category>
          <w:name w:val="General"/>
          <w:gallery w:val="placeholder"/>
        </w:category>
        <w:types>
          <w:type w:val="bbPlcHdr"/>
        </w:types>
        <w:behaviors>
          <w:behavior w:val="content"/>
        </w:behaviors>
        <w:guid w:val="{D23BA045-9B5F-434E-AD78-185231793ED8}"/>
      </w:docPartPr>
      <w:docPartBody>
        <w:p w:rsidR="00017403" w:rsidRDefault="00017403" w:rsidP="00017403">
          <w:pPr>
            <w:pStyle w:val="BC5A617D07E24E14B0B7042287430E26"/>
          </w:pPr>
          <w:r w:rsidRPr="00D34178">
            <w:rPr>
              <w:rStyle w:val="PlaceholderText"/>
            </w:rPr>
            <w:t>Click here to enter text.</w:t>
          </w:r>
        </w:p>
      </w:docPartBody>
    </w:docPart>
    <w:docPart>
      <w:docPartPr>
        <w:name w:val="25269C132AEC4CB2B76628B2D4394365"/>
        <w:category>
          <w:name w:val="General"/>
          <w:gallery w:val="placeholder"/>
        </w:category>
        <w:types>
          <w:type w:val="bbPlcHdr"/>
        </w:types>
        <w:behaviors>
          <w:behavior w:val="content"/>
        </w:behaviors>
        <w:guid w:val="{4E0148C5-2FB9-489D-85BF-8873D593CC9E}"/>
      </w:docPartPr>
      <w:docPartBody>
        <w:p w:rsidR="00017403" w:rsidRDefault="00017403" w:rsidP="00017403">
          <w:pPr>
            <w:pStyle w:val="25269C132AEC4CB2B76628B2D4394365"/>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25B91"/>
    <w:rsid w:val="0012195E"/>
    <w:rsid w:val="001C6B00"/>
    <w:rsid w:val="002138F9"/>
    <w:rsid w:val="003B25AC"/>
    <w:rsid w:val="004439BA"/>
    <w:rsid w:val="004806BA"/>
    <w:rsid w:val="004A5D1F"/>
    <w:rsid w:val="004C2862"/>
    <w:rsid w:val="00667547"/>
    <w:rsid w:val="008A4874"/>
    <w:rsid w:val="00A22A54"/>
    <w:rsid w:val="00A402E9"/>
    <w:rsid w:val="00A978F0"/>
    <w:rsid w:val="00C71BB8"/>
    <w:rsid w:val="00D07903"/>
    <w:rsid w:val="00D824C1"/>
    <w:rsid w:val="00DB5128"/>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403"/>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81E53DA8-BF21-4211-971A-8B5B34C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2018-11-08T18:27:00Z</dcterms:created>
  <dcterms:modified xsi:type="dcterms:W3CDTF">2018-11-08T18:27:00Z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