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E40F0" w14:textId="77777777" w:rsidR="00DC1C83" w:rsidRDefault="00DC1C83">
      <w:pPr>
        <w:jc w:val="center"/>
      </w:pPr>
      <w:bookmarkStart w:id="0" w:name="_GoBack"/>
      <w:bookmarkEnd w:id="0"/>
      <w:r>
        <w:rPr>
          <w:b/>
          <w:bCs/>
        </w:rPr>
        <w:t xml:space="preserve">National Institute for Jail Operations </w:t>
      </w:r>
    </w:p>
    <w:p w14:paraId="5E7E2555" w14:textId="72C0793B" w:rsidR="00DC1C83" w:rsidRDefault="00436510">
      <w:pPr>
        <w:jc w:val="center"/>
      </w:pPr>
      <w:r>
        <w:rPr>
          <w:b/>
          <w:bCs/>
        </w:rPr>
        <w:t>Pre-Test W</w:t>
      </w:r>
      <w:r w:rsidR="00914010">
        <w:rPr>
          <w:b/>
          <w:bCs/>
        </w:rPr>
        <w:t>ASPC</w:t>
      </w:r>
      <w:r>
        <w:rPr>
          <w:b/>
          <w:bCs/>
        </w:rPr>
        <w:t xml:space="preserve"> </w:t>
      </w:r>
      <w:r w:rsidR="00A3185D">
        <w:rPr>
          <w:b/>
          <w:bCs/>
        </w:rPr>
        <w:t>2021.05.26</w:t>
      </w:r>
    </w:p>
    <w:p w14:paraId="067EEFB1" w14:textId="77777777" w:rsidR="00DC1C83" w:rsidRDefault="00DC1C83"/>
    <w:p w14:paraId="4EBE0369" w14:textId="516251DE" w:rsidR="00DC1C83" w:rsidRDefault="00DC1C83">
      <w:pPr>
        <w:tabs>
          <w:tab w:val="left" w:pos="-1440"/>
        </w:tabs>
        <w:ind w:left="720" w:hanging="720"/>
      </w:pPr>
      <w:r>
        <w:t>1.</w:t>
      </w:r>
      <w:r>
        <w:tab/>
      </w:r>
      <w:r w:rsidR="00443106">
        <w:t xml:space="preserve">Classification is considered punitive by the courts </w:t>
      </w:r>
      <w:r w:rsidR="00230B84">
        <w:t xml:space="preserve">only </w:t>
      </w:r>
      <w:r w:rsidR="00443106">
        <w:t>when it restricts inmate rights.</w:t>
      </w:r>
    </w:p>
    <w:p w14:paraId="6A95B021" w14:textId="77777777" w:rsidR="00DC1C83" w:rsidRPr="002D79FB" w:rsidRDefault="00DC1C83">
      <w:pPr>
        <w:rPr>
          <w:sz w:val="12"/>
        </w:rPr>
      </w:pPr>
    </w:p>
    <w:p w14:paraId="0B92CBCA" w14:textId="1FEDA098" w:rsidR="00DC1C83" w:rsidRDefault="00DC1C83">
      <w:pPr>
        <w:ind w:left="720"/>
        <w:rPr>
          <w:u w:val="single"/>
        </w:rPr>
      </w:pPr>
      <w:r>
        <w:t xml:space="preserve">True </w:t>
      </w:r>
      <w:r>
        <w:rPr>
          <w:u w:val="single"/>
        </w:rPr>
        <w:t xml:space="preserve">          </w:t>
      </w:r>
      <w:r>
        <w:t xml:space="preserve">    False </w:t>
      </w:r>
      <w:r>
        <w:rPr>
          <w:u w:val="single"/>
        </w:rPr>
        <w:t xml:space="preserve">          </w:t>
      </w:r>
    </w:p>
    <w:p w14:paraId="7A369E37" w14:textId="77777777" w:rsidR="00B95848" w:rsidRDefault="00B95848">
      <w:pPr>
        <w:ind w:left="720"/>
      </w:pPr>
    </w:p>
    <w:p w14:paraId="0DF4C25F" w14:textId="77777777" w:rsidR="0098302C" w:rsidRDefault="0098302C"/>
    <w:p w14:paraId="681F691A" w14:textId="77777777" w:rsidR="00B95848" w:rsidRDefault="0098302C">
      <w:r>
        <w:t>2.</w:t>
      </w:r>
      <w:r>
        <w:tab/>
      </w:r>
      <w:r w:rsidR="0045587D">
        <w:t>The intent of punitive damages is to punish the responsible persons, not the taxpayer.</w:t>
      </w:r>
    </w:p>
    <w:p w14:paraId="7385CE35" w14:textId="77777777" w:rsidR="00B95848" w:rsidRPr="002D79FB" w:rsidRDefault="0098302C" w:rsidP="00B95848">
      <w:pPr>
        <w:rPr>
          <w:sz w:val="12"/>
        </w:rPr>
      </w:pPr>
      <w:r>
        <w:t xml:space="preserve"> </w:t>
      </w:r>
    </w:p>
    <w:p w14:paraId="19A0CA25" w14:textId="1D63516F" w:rsidR="00DC1C83" w:rsidRDefault="00B95848" w:rsidP="00B95848">
      <w:pPr>
        <w:ind w:left="720"/>
      </w:pPr>
      <w:r>
        <w:t xml:space="preserve">True </w:t>
      </w:r>
      <w:r>
        <w:rPr>
          <w:u w:val="single"/>
        </w:rPr>
        <w:t xml:space="preserve">          </w:t>
      </w:r>
      <w:r>
        <w:t xml:space="preserve">    False </w:t>
      </w:r>
      <w:r>
        <w:rPr>
          <w:u w:val="single"/>
        </w:rPr>
        <w:t xml:space="preserve">          </w:t>
      </w:r>
    </w:p>
    <w:p w14:paraId="0637C26E" w14:textId="77777777" w:rsidR="00B95848" w:rsidRDefault="00B95848" w:rsidP="00B95848">
      <w:pPr>
        <w:ind w:left="720"/>
      </w:pPr>
    </w:p>
    <w:p w14:paraId="4877A50A" w14:textId="77777777" w:rsidR="00F173EC" w:rsidRDefault="00F173EC"/>
    <w:p w14:paraId="310341EE" w14:textId="3EA4DD91" w:rsidR="00DC1C83" w:rsidRDefault="00B95848">
      <w:pPr>
        <w:tabs>
          <w:tab w:val="left" w:pos="-1440"/>
        </w:tabs>
        <w:ind w:left="720" w:hanging="720"/>
      </w:pPr>
      <w:r>
        <w:t>3</w:t>
      </w:r>
      <w:r w:rsidR="00DC1C83">
        <w:t>.</w:t>
      </w:r>
      <w:r w:rsidR="00DC1C83">
        <w:tab/>
        <w:t>The standard for liability in federal court for failing to protect inmates is: officers knew or should have known of a threat to inmate safety and failed to prevent the harm.</w:t>
      </w:r>
    </w:p>
    <w:p w14:paraId="6505245F" w14:textId="77777777" w:rsidR="00DC1C83" w:rsidRPr="002D79FB" w:rsidRDefault="00DC1C83">
      <w:pPr>
        <w:rPr>
          <w:sz w:val="12"/>
        </w:rPr>
      </w:pPr>
    </w:p>
    <w:p w14:paraId="11513358" w14:textId="77777777" w:rsidR="00DC1C83" w:rsidRDefault="00DC1C83">
      <w:pPr>
        <w:ind w:left="720"/>
      </w:pPr>
      <w:r>
        <w:t xml:space="preserve">True </w:t>
      </w:r>
      <w:r>
        <w:rPr>
          <w:u w:val="single"/>
        </w:rPr>
        <w:t xml:space="preserve">          </w:t>
      </w:r>
      <w:r>
        <w:t xml:space="preserve">    False </w:t>
      </w:r>
      <w:r>
        <w:rPr>
          <w:u w:val="single"/>
        </w:rPr>
        <w:t xml:space="preserve">          </w:t>
      </w:r>
    </w:p>
    <w:p w14:paraId="732B80D8" w14:textId="77777777" w:rsidR="00DC1C83" w:rsidRDefault="00DC1C83"/>
    <w:p w14:paraId="66FAE26A" w14:textId="77777777" w:rsidR="00F173EC" w:rsidRDefault="00F173EC"/>
    <w:p w14:paraId="41CCF7C4" w14:textId="67E1FE10" w:rsidR="00DC1C83" w:rsidRDefault="00B95848">
      <w:pPr>
        <w:tabs>
          <w:tab w:val="left" w:pos="-1440"/>
        </w:tabs>
        <w:ind w:left="720" w:hanging="720"/>
      </w:pPr>
      <w:r>
        <w:t>4</w:t>
      </w:r>
      <w:r w:rsidR="00DC1C83">
        <w:t>.</w:t>
      </w:r>
      <w:r w:rsidR="00DC1C83">
        <w:tab/>
      </w:r>
      <w:r w:rsidR="000C244E">
        <w:t>Under the 1</w:t>
      </w:r>
      <w:r w:rsidR="000C244E" w:rsidRPr="000C244E">
        <w:rPr>
          <w:vertAlign w:val="superscript"/>
        </w:rPr>
        <w:t>st</w:t>
      </w:r>
      <w:r w:rsidR="000C244E">
        <w:t xml:space="preserve"> Amendment, i</w:t>
      </w:r>
      <w:r w:rsidR="00DC1C83">
        <w:t>nmates have a</w:t>
      </w:r>
      <w:r w:rsidR="000C244E">
        <w:t xml:space="preserve"> </w:t>
      </w:r>
      <w:r w:rsidR="00DC1C83">
        <w:t xml:space="preserve">right to </w:t>
      </w:r>
      <w:r w:rsidR="000C244E">
        <w:t>unrestricted visits from media agents.</w:t>
      </w:r>
    </w:p>
    <w:p w14:paraId="6F49EC52" w14:textId="77777777" w:rsidR="00DC1C83" w:rsidRPr="002D79FB" w:rsidRDefault="00DC1C83">
      <w:pPr>
        <w:rPr>
          <w:sz w:val="12"/>
        </w:rPr>
      </w:pPr>
    </w:p>
    <w:p w14:paraId="01FC08FE" w14:textId="77777777" w:rsidR="00DC1C83" w:rsidRDefault="00DC1C83">
      <w:pPr>
        <w:ind w:left="720"/>
      </w:pPr>
      <w:r>
        <w:t xml:space="preserve">True </w:t>
      </w:r>
      <w:r>
        <w:rPr>
          <w:u w:val="single"/>
        </w:rPr>
        <w:t xml:space="preserve">          </w:t>
      </w:r>
      <w:r>
        <w:t xml:space="preserve">    False </w:t>
      </w:r>
      <w:r>
        <w:rPr>
          <w:u w:val="single"/>
        </w:rPr>
        <w:t xml:space="preserve">          </w:t>
      </w:r>
    </w:p>
    <w:p w14:paraId="3CF1ADD9" w14:textId="77777777" w:rsidR="00DC1C83" w:rsidRDefault="00DC1C83"/>
    <w:p w14:paraId="1EA732CE" w14:textId="41CCEC3F" w:rsidR="00F173EC" w:rsidRDefault="00F173EC"/>
    <w:p w14:paraId="6D9001EE" w14:textId="673691DF" w:rsidR="00B95848" w:rsidRDefault="00B95848">
      <w:r>
        <w:t>5.</w:t>
      </w:r>
      <w:r>
        <w:tab/>
        <w:t>Factor 1 of the Turner v Safley ruling relating to visitation is:</w:t>
      </w:r>
    </w:p>
    <w:p w14:paraId="33870ABA" w14:textId="245FC297" w:rsidR="00B95848" w:rsidRDefault="00B95848" w:rsidP="00B95848">
      <w:pPr>
        <w:ind w:left="720"/>
      </w:pPr>
      <w:r>
        <w:t>a. There must be a valid, rational connection between the regulation and the legitimate governmental interest.</w:t>
      </w:r>
    </w:p>
    <w:p w14:paraId="4BB0B8C3" w14:textId="64535E1F" w:rsidR="00B95848" w:rsidRDefault="00B95848">
      <w:r>
        <w:tab/>
        <w:t>b. Inmates have no right to visitation.</w:t>
      </w:r>
    </w:p>
    <w:p w14:paraId="5C95D94A" w14:textId="6D4EAD91" w:rsidR="00B95848" w:rsidRDefault="00B95848">
      <w:r>
        <w:tab/>
        <w:t>c. Inmates rights can be restricted due to the discretion of the jail officials.</w:t>
      </w:r>
    </w:p>
    <w:p w14:paraId="3E93FD90" w14:textId="1A55B026" w:rsidR="00B95848" w:rsidRDefault="00B95848">
      <w:r>
        <w:tab/>
        <w:t>d. Everyone can visit but children.</w:t>
      </w:r>
    </w:p>
    <w:p w14:paraId="4B86DC0D" w14:textId="3725D81C" w:rsidR="00B95848" w:rsidRDefault="00B95848"/>
    <w:p w14:paraId="41E06DAF" w14:textId="77777777" w:rsidR="00B95848" w:rsidRDefault="00B95848"/>
    <w:p w14:paraId="0F54D292" w14:textId="06EBCCA6" w:rsidR="00DC1C83" w:rsidRDefault="00B95848" w:rsidP="00B95848">
      <w:pPr>
        <w:tabs>
          <w:tab w:val="left" w:pos="-1440"/>
        </w:tabs>
        <w:ind w:left="720" w:hanging="720"/>
      </w:pPr>
      <w:r>
        <w:t>6</w:t>
      </w:r>
      <w:r w:rsidR="00DC1C83">
        <w:t>.</w:t>
      </w:r>
      <w:r w:rsidR="00DC1C83">
        <w:tab/>
        <w:t>If jail officials violate the standards created by the Am</w:t>
      </w:r>
      <w:r w:rsidR="005268E2">
        <w:t>erican Correctional Association or</w:t>
      </w:r>
      <w:r w:rsidR="00DC1C83">
        <w:t xml:space="preserve"> the National Commission on Correctional Health Care, officials will be liable in federal court litigation.</w:t>
      </w:r>
    </w:p>
    <w:p w14:paraId="441ED453" w14:textId="77777777" w:rsidR="00DC1C83" w:rsidRPr="002D79FB" w:rsidRDefault="00DC1C83">
      <w:pPr>
        <w:rPr>
          <w:sz w:val="12"/>
        </w:rPr>
      </w:pPr>
    </w:p>
    <w:p w14:paraId="6DC45136" w14:textId="77777777" w:rsidR="00DC1C83" w:rsidRDefault="00DC1C83">
      <w:pPr>
        <w:ind w:left="720"/>
      </w:pPr>
      <w:r>
        <w:t xml:space="preserve">True </w:t>
      </w:r>
      <w:r>
        <w:rPr>
          <w:u w:val="single"/>
        </w:rPr>
        <w:t xml:space="preserve">          </w:t>
      </w:r>
      <w:r>
        <w:t xml:space="preserve">    False </w:t>
      </w:r>
      <w:r>
        <w:rPr>
          <w:u w:val="single"/>
        </w:rPr>
        <w:t xml:space="preserve">          </w:t>
      </w:r>
    </w:p>
    <w:p w14:paraId="1F6C7563" w14:textId="77777777" w:rsidR="00DC1C83" w:rsidRDefault="00DC1C83"/>
    <w:p w14:paraId="1EE018AE" w14:textId="77777777" w:rsidR="00F173EC" w:rsidRDefault="00F173EC"/>
    <w:p w14:paraId="161F8A27" w14:textId="7D7EE961" w:rsidR="00DC1C83" w:rsidRDefault="00B95848">
      <w:pPr>
        <w:tabs>
          <w:tab w:val="left" w:pos="-1440"/>
        </w:tabs>
        <w:ind w:left="720" w:hanging="720"/>
      </w:pPr>
      <w:r>
        <w:t>7</w:t>
      </w:r>
      <w:r w:rsidR="00DC1C83">
        <w:t>.</w:t>
      </w:r>
      <w:r w:rsidR="00DC1C83">
        <w:tab/>
        <w:t xml:space="preserve">Failure to comply with </w:t>
      </w:r>
      <w:r w:rsidR="0034755F">
        <w:t xml:space="preserve">DOJ </w:t>
      </w:r>
      <w:r w:rsidR="00DC1C83">
        <w:t xml:space="preserve">PREA standards is a violation of inmate rights and exposes officials to liability; however, compliance with </w:t>
      </w:r>
      <w:r w:rsidR="0034755F">
        <w:t xml:space="preserve">DOJ </w:t>
      </w:r>
      <w:r w:rsidR="00DC1C83">
        <w:t xml:space="preserve">PREA </w:t>
      </w:r>
      <w:r w:rsidR="0034755F">
        <w:t xml:space="preserve">standards </w:t>
      </w:r>
      <w:r w:rsidR="00DC1C83">
        <w:t>protects officials from liability.</w:t>
      </w:r>
    </w:p>
    <w:p w14:paraId="5303C3D2" w14:textId="77777777" w:rsidR="00DC1C83" w:rsidRPr="002D79FB" w:rsidRDefault="00DC1C83">
      <w:pPr>
        <w:rPr>
          <w:sz w:val="12"/>
        </w:rPr>
      </w:pPr>
    </w:p>
    <w:p w14:paraId="712736D5" w14:textId="6AC3C45E" w:rsidR="005866C7" w:rsidRDefault="00DC1C83" w:rsidP="005268E2">
      <w:pPr>
        <w:ind w:left="720"/>
      </w:pPr>
      <w:r>
        <w:t xml:space="preserve">True </w:t>
      </w:r>
      <w:r>
        <w:rPr>
          <w:u w:val="single"/>
        </w:rPr>
        <w:t xml:space="preserve">          </w:t>
      </w:r>
      <w:r>
        <w:t xml:space="preserve">    False </w:t>
      </w:r>
      <w:r>
        <w:rPr>
          <w:u w:val="single"/>
        </w:rPr>
        <w:t xml:space="preserve">          </w:t>
      </w:r>
    </w:p>
    <w:p w14:paraId="735137FE" w14:textId="77777777" w:rsidR="005268E2" w:rsidRDefault="005268E2" w:rsidP="005268E2">
      <w:pPr>
        <w:ind w:left="720"/>
      </w:pPr>
    </w:p>
    <w:p w14:paraId="002443D9" w14:textId="77777777" w:rsidR="00F173EC" w:rsidRDefault="00F173EC"/>
    <w:p w14:paraId="0A4B7AA2" w14:textId="3A993489" w:rsidR="00DC1C83" w:rsidRDefault="005268E2">
      <w:pPr>
        <w:tabs>
          <w:tab w:val="left" w:pos="-1440"/>
        </w:tabs>
        <w:ind w:left="720" w:hanging="720"/>
      </w:pPr>
      <w:r>
        <w:t>8</w:t>
      </w:r>
      <w:r w:rsidR="00DC1C83">
        <w:t>.</w:t>
      </w:r>
      <w:r w:rsidR="00DC1C83">
        <w:tab/>
        <w:t>The U.S. Supreme Court in the Florence case approved strip searches of inmates being booked into jail.  The court gave three primary justifications for reversing the lower courts which had determined that strip searches violated prisoner rights.</w:t>
      </w:r>
      <w:r w:rsidR="00AB6D75">
        <w:t xml:space="preserve">  (3 pts)</w:t>
      </w:r>
    </w:p>
    <w:p w14:paraId="0CAC3F12" w14:textId="77777777" w:rsidR="00DC1C83" w:rsidRPr="002D79FB" w:rsidRDefault="00DC1C83">
      <w:pPr>
        <w:rPr>
          <w:sz w:val="12"/>
        </w:rPr>
      </w:pPr>
    </w:p>
    <w:tbl>
      <w:tblPr>
        <w:tblStyle w:val="TableGrid"/>
        <w:tblW w:w="0" w:type="auto"/>
        <w:tblInd w:w="828" w:type="dxa"/>
        <w:tblLook w:val="04A0" w:firstRow="1" w:lastRow="0" w:firstColumn="1" w:lastColumn="0" w:noHBand="0" w:noVBand="1"/>
      </w:tblPr>
      <w:tblGrid>
        <w:gridCol w:w="3155"/>
        <w:gridCol w:w="2718"/>
        <w:gridCol w:w="2649"/>
      </w:tblGrid>
      <w:tr w:rsidR="005268E2" w14:paraId="67A07A82" w14:textId="77777777" w:rsidTr="005268E2">
        <w:tc>
          <w:tcPr>
            <w:tcW w:w="3240" w:type="dxa"/>
          </w:tcPr>
          <w:p w14:paraId="7EFB7291" w14:textId="1288C33E" w:rsidR="005268E2" w:rsidRDefault="005268E2">
            <w:r>
              <w:t>1.</w:t>
            </w:r>
          </w:p>
        </w:tc>
        <w:tc>
          <w:tcPr>
            <w:tcW w:w="2790" w:type="dxa"/>
          </w:tcPr>
          <w:p w14:paraId="0F6715D2" w14:textId="23B6E3B0" w:rsidR="005268E2" w:rsidRDefault="005268E2">
            <w:r>
              <w:t>2.</w:t>
            </w:r>
          </w:p>
        </w:tc>
        <w:tc>
          <w:tcPr>
            <w:tcW w:w="2718" w:type="dxa"/>
          </w:tcPr>
          <w:p w14:paraId="00BCD769" w14:textId="3A499953" w:rsidR="005268E2" w:rsidRDefault="005268E2">
            <w:r>
              <w:t>3.</w:t>
            </w:r>
          </w:p>
        </w:tc>
      </w:tr>
    </w:tbl>
    <w:p w14:paraId="73D27BDA" w14:textId="77777777" w:rsidR="00DC1C83" w:rsidRDefault="00DC1C83"/>
    <w:p w14:paraId="6CE6457D" w14:textId="77777777" w:rsidR="002D79FB" w:rsidRDefault="002D79FB"/>
    <w:p w14:paraId="5904D0CF" w14:textId="77777777" w:rsidR="00AB6D75" w:rsidRDefault="00AB6D75">
      <w:pPr>
        <w:sectPr w:rsidR="00AB6D75" w:rsidSect="0092762D">
          <w:footerReference w:type="default" r:id="rId10"/>
          <w:pgSz w:w="12240" w:h="15840"/>
          <w:pgMar w:top="900" w:right="1440" w:bottom="1440" w:left="1440" w:header="1440" w:footer="360" w:gutter="0"/>
          <w:cols w:space="720"/>
          <w:noEndnote/>
        </w:sectPr>
      </w:pPr>
    </w:p>
    <w:p w14:paraId="70ADFA2E" w14:textId="09DE8349" w:rsidR="00B95848" w:rsidRDefault="005268E2" w:rsidP="002D79FB">
      <w:pPr>
        <w:tabs>
          <w:tab w:val="left" w:pos="-1440"/>
        </w:tabs>
        <w:ind w:left="720" w:hanging="720"/>
      </w:pPr>
      <w:r>
        <w:t>9</w:t>
      </w:r>
      <w:r w:rsidR="00B95848">
        <w:t>.</w:t>
      </w:r>
      <w:r w:rsidR="00B95848">
        <w:tab/>
      </w:r>
      <w:r w:rsidR="00A3185D">
        <w:t xml:space="preserve">Inmates have </w:t>
      </w:r>
      <w:r w:rsidR="00B95848">
        <w:t xml:space="preserve">three </w:t>
      </w:r>
      <w:r w:rsidR="00A3185D">
        <w:t>recognized “</w:t>
      </w:r>
      <w:r w:rsidR="00B95848">
        <w:t>legs</w:t>
      </w:r>
      <w:r w:rsidR="00A3185D">
        <w:t>”</w:t>
      </w:r>
      <w:r w:rsidR="00B95848">
        <w:t xml:space="preserve"> of communication</w:t>
      </w:r>
      <w:r w:rsidR="00443106">
        <w:t>: mail, visitation, and telephone</w:t>
      </w:r>
      <w:r w:rsidR="00B95848">
        <w:t xml:space="preserve">. </w:t>
      </w:r>
      <w:r w:rsidR="00443106">
        <w:t xml:space="preserve">Which of the legs are not </w:t>
      </w:r>
      <w:r w:rsidR="00A3185D">
        <w:t xml:space="preserve">legally </w:t>
      </w:r>
      <w:r w:rsidR="00443106">
        <w:t xml:space="preserve">required to be offered by jail officials:  </w:t>
      </w:r>
    </w:p>
    <w:p w14:paraId="4D1326BA" w14:textId="681A84FC" w:rsidR="00B95848" w:rsidRDefault="00B95848" w:rsidP="002D79FB">
      <w:pPr>
        <w:tabs>
          <w:tab w:val="left" w:pos="-1440"/>
        </w:tabs>
        <w:ind w:left="720" w:hanging="720"/>
      </w:pPr>
      <w:r>
        <w:tab/>
        <w:t>a. Mail</w:t>
      </w:r>
    </w:p>
    <w:p w14:paraId="7B697009" w14:textId="517A361D" w:rsidR="00B95848" w:rsidRDefault="00B95848" w:rsidP="002D79FB">
      <w:pPr>
        <w:tabs>
          <w:tab w:val="left" w:pos="-1440"/>
        </w:tabs>
        <w:ind w:left="720" w:hanging="720"/>
      </w:pPr>
      <w:r>
        <w:tab/>
        <w:t xml:space="preserve">b. </w:t>
      </w:r>
      <w:r w:rsidR="00443106">
        <w:t xml:space="preserve">Visitation </w:t>
      </w:r>
    </w:p>
    <w:p w14:paraId="48C61062" w14:textId="2613ECBE" w:rsidR="00B95848" w:rsidRDefault="00B95848" w:rsidP="002D79FB">
      <w:pPr>
        <w:tabs>
          <w:tab w:val="left" w:pos="-1440"/>
        </w:tabs>
        <w:ind w:left="720" w:hanging="720"/>
      </w:pPr>
      <w:r>
        <w:tab/>
        <w:t xml:space="preserve">c. </w:t>
      </w:r>
      <w:r w:rsidR="00443106">
        <w:t>Telephone</w:t>
      </w:r>
    </w:p>
    <w:p w14:paraId="26990F3D" w14:textId="198CF12E" w:rsidR="00443106" w:rsidRDefault="00B95848" w:rsidP="00443106">
      <w:pPr>
        <w:tabs>
          <w:tab w:val="left" w:pos="-1440"/>
        </w:tabs>
        <w:ind w:left="720" w:hanging="720"/>
      </w:pPr>
      <w:r>
        <w:tab/>
        <w:t xml:space="preserve">d. </w:t>
      </w:r>
      <w:r w:rsidR="00443106">
        <w:t xml:space="preserve">All </w:t>
      </w:r>
      <w:r w:rsidR="00A3185D">
        <w:t xml:space="preserve">three </w:t>
      </w:r>
      <w:r w:rsidR="00443106">
        <w:t>legs are required</w:t>
      </w:r>
    </w:p>
    <w:p w14:paraId="3E6E43E6" w14:textId="2A9A7E0A" w:rsidR="00B95848" w:rsidRDefault="00443106" w:rsidP="00443106">
      <w:pPr>
        <w:tabs>
          <w:tab w:val="left" w:pos="-1440"/>
        </w:tabs>
        <w:ind w:left="720" w:hanging="720"/>
      </w:pPr>
      <w:r>
        <w:tab/>
        <w:t xml:space="preserve">e. </w:t>
      </w:r>
      <w:r w:rsidR="00A3185D">
        <w:t>Just one leg needs to be offered</w:t>
      </w:r>
      <w:r>
        <w:t xml:space="preserve"> </w:t>
      </w:r>
    </w:p>
    <w:p w14:paraId="54C65F2F" w14:textId="1943DA51" w:rsidR="00B95848" w:rsidRDefault="00B95848" w:rsidP="002D79FB">
      <w:pPr>
        <w:tabs>
          <w:tab w:val="left" w:pos="-1440"/>
        </w:tabs>
        <w:ind w:left="720" w:hanging="720"/>
      </w:pPr>
    </w:p>
    <w:p w14:paraId="5B1B089A" w14:textId="77777777" w:rsidR="00B95848" w:rsidRDefault="00B95848" w:rsidP="002D79FB">
      <w:pPr>
        <w:tabs>
          <w:tab w:val="left" w:pos="-1440"/>
        </w:tabs>
        <w:ind w:left="720" w:hanging="720"/>
      </w:pPr>
    </w:p>
    <w:p w14:paraId="3EDAA113" w14:textId="77777777" w:rsidR="005268E2" w:rsidRDefault="00B95848" w:rsidP="005268E2">
      <w:pPr>
        <w:tabs>
          <w:tab w:val="left" w:pos="-1440"/>
        </w:tabs>
        <w:ind w:left="720" w:hanging="720"/>
      </w:pPr>
      <w:r>
        <w:t>1</w:t>
      </w:r>
      <w:r w:rsidR="005268E2">
        <w:t>0</w:t>
      </w:r>
      <w:r>
        <w:t>.</w:t>
      </w:r>
      <w:r>
        <w:tab/>
      </w:r>
      <w:r w:rsidR="005268E2">
        <w:t>Failure to provide adequate intake suicide screening of inmates is a constitutional violation.</w:t>
      </w:r>
    </w:p>
    <w:p w14:paraId="64621D15" w14:textId="77777777" w:rsidR="005268E2" w:rsidRPr="002D79FB" w:rsidRDefault="005268E2" w:rsidP="005268E2">
      <w:pPr>
        <w:rPr>
          <w:sz w:val="12"/>
        </w:rPr>
      </w:pPr>
    </w:p>
    <w:p w14:paraId="36675FD1" w14:textId="10FAF4FF" w:rsidR="00DC1C83" w:rsidRDefault="005268E2" w:rsidP="00230B84">
      <w:pPr>
        <w:ind w:left="720"/>
      </w:pPr>
      <w:r>
        <w:t xml:space="preserve">True </w:t>
      </w:r>
      <w:r>
        <w:rPr>
          <w:u w:val="single"/>
        </w:rPr>
        <w:t xml:space="preserve">          </w:t>
      </w:r>
      <w:r>
        <w:t xml:space="preserve">    False </w:t>
      </w:r>
      <w:r>
        <w:rPr>
          <w:u w:val="single"/>
        </w:rPr>
        <w:t xml:space="preserve">          </w:t>
      </w:r>
    </w:p>
    <w:p w14:paraId="49200D5E" w14:textId="77777777" w:rsidR="00DC1C83" w:rsidRDefault="00DC1C83"/>
    <w:p w14:paraId="6DADA277" w14:textId="77777777" w:rsidR="00F173EC" w:rsidRDefault="00F173EC"/>
    <w:p w14:paraId="393EAED6" w14:textId="19F1753A" w:rsidR="00DC1C83" w:rsidRDefault="00AB6D75">
      <w:pPr>
        <w:tabs>
          <w:tab w:val="left" w:pos="-1440"/>
        </w:tabs>
        <w:ind w:left="720" w:hanging="720"/>
      </w:pPr>
      <w:r>
        <w:t>1</w:t>
      </w:r>
      <w:r w:rsidR="005268E2">
        <w:t>2</w:t>
      </w:r>
      <w:r w:rsidR="00DC1C83">
        <w:t>.</w:t>
      </w:r>
      <w:r w:rsidR="00DC1C83">
        <w:tab/>
        <w:t xml:space="preserve">Inmates must exhaust </w:t>
      </w:r>
      <w:r w:rsidR="002D79FB" w:rsidRPr="002D79FB">
        <w:rPr>
          <w:b/>
        </w:rPr>
        <w:t>ALL</w:t>
      </w:r>
      <w:r w:rsidR="00DC1C83">
        <w:t xml:space="preserve"> administrative remedies before they can file </w:t>
      </w:r>
      <w:r w:rsidR="002D79FB">
        <w:t xml:space="preserve">a federal </w:t>
      </w:r>
      <w:r w:rsidR="00DC1C83">
        <w:t>suit against corrections officials.</w:t>
      </w:r>
    </w:p>
    <w:p w14:paraId="34C6081B" w14:textId="77777777" w:rsidR="00DC1C83" w:rsidRPr="002D79FB" w:rsidRDefault="00DC1C83">
      <w:pPr>
        <w:rPr>
          <w:sz w:val="14"/>
        </w:rPr>
      </w:pPr>
    </w:p>
    <w:p w14:paraId="2C31CEC6" w14:textId="77777777" w:rsidR="00DC1C83" w:rsidRDefault="00DC1C83">
      <w:pPr>
        <w:ind w:left="720"/>
      </w:pPr>
      <w:r>
        <w:t xml:space="preserve">True </w:t>
      </w:r>
      <w:r>
        <w:rPr>
          <w:u w:val="single"/>
        </w:rPr>
        <w:t xml:space="preserve">          </w:t>
      </w:r>
      <w:r>
        <w:t xml:space="preserve">    False </w:t>
      </w:r>
      <w:r>
        <w:rPr>
          <w:u w:val="single"/>
        </w:rPr>
        <w:t xml:space="preserve">          </w:t>
      </w:r>
    </w:p>
    <w:p w14:paraId="0DD6490A" w14:textId="77777777" w:rsidR="00DC1C83" w:rsidRDefault="00DC1C83"/>
    <w:p w14:paraId="70BCC691" w14:textId="77777777" w:rsidR="00F173EC" w:rsidRDefault="00F173EC"/>
    <w:p w14:paraId="5D831101" w14:textId="68897575" w:rsidR="005268E2" w:rsidRDefault="005268E2" w:rsidP="005268E2">
      <w:r>
        <w:t>13</w:t>
      </w:r>
      <w:r w:rsidR="0034755F">
        <w:t>.</w:t>
      </w:r>
      <w:r w:rsidR="0034755F">
        <w:tab/>
      </w:r>
      <w:r>
        <w:t xml:space="preserve">It is illegal to keep a transgender inmate in </w:t>
      </w:r>
      <w:r w:rsidR="00A3185D">
        <w:t>restrictive housing for</w:t>
      </w:r>
      <w:r>
        <w:t xml:space="preserve"> longer than 30 days.</w:t>
      </w:r>
    </w:p>
    <w:p w14:paraId="08304602" w14:textId="77777777" w:rsidR="005268E2" w:rsidRPr="002D79FB" w:rsidRDefault="005268E2" w:rsidP="005268E2">
      <w:pPr>
        <w:rPr>
          <w:sz w:val="12"/>
        </w:rPr>
      </w:pPr>
    </w:p>
    <w:p w14:paraId="3EFA6AC2" w14:textId="77777777" w:rsidR="005268E2" w:rsidRDefault="005268E2" w:rsidP="005268E2">
      <w:pPr>
        <w:ind w:left="720"/>
      </w:pPr>
      <w:r>
        <w:t xml:space="preserve">True </w:t>
      </w:r>
      <w:r>
        <w:rPr>
          <w:u w:val="single"/>
        </w:rPr>
        <w:t xml:space="preserve">          </w:t>
      </w:r>
      <w:r>
        <w:t xml:space="preserve">    False </w:t>
      </w:r>
      <w:r>
        <w:rPr>
          <w:u w:val="single"/>
        </w:rPr>
        <w:t xml:space="preserve">          </w:t>
      </w:r>
    </w:p>
    <w:p w14:paraId="15BEEFCB" w14:textId="32C227F1" w:rsidR="00B95848" w:rsidRDefault="00B95848" w:rsidP="005268E2">
      <w:pPr>
        <w:tabs>
          <w:tab w:val="left" w:pos="-1440"/>
        </w:tabs>
        <w:ind w:left="720" w:hanging="720"/>
      </w:pPr>
    </w:p>
    <w:p w14:paraId="3E06403A" w14:textId="77777777" w:rsidR="00B95848" w:rsidRDefault="00B95848">
      <w:pPr>
        <w:tabs>
          <w:tab w:val="left" w:pos="-1440"/>
        </w:tabs>
        <w:ind w:left="720" w:hanging="720"/>
      </w:pPr>
    </w:p>
    <w:p w14:paraId="4EEC2D2B" w14:textId="30BFF8BD" w:rsidR="00DC1C83" w:rsidRDefault="00AB6D75" w:rsidP="00443106">
      <w:pPr>
        <w:tabs>
          <w:tab w:val="left" w:pos="-1440"/>
        </w:tabs>
        <w:ind w:left="720" w:hanging="720"/>
      </w:pPr>
      <w:r>
        <w:t>1</w:t>
      </w:r>
      <w:r w:rsidR="005268E2">
        <w:t>4</w:t>
      </w:r>
      <w:r w:rsidR="00DC1C83">
        <w:t>.</w:t>
      </w:r>
      <w:r w:rsidR="00DC1C83">
        <w:tab/>
      </w:r>
      <w:r w:rsidR="00443106">
        <w:t>Banning</w:t>
      </w:r>
      <w:r w:rsidR="00A3185D">
        <w:t xml:space="preserve"> </w:t>
      </w:r>
      <w:r w:rsidR="00443106">
        <w:t>entire publication</w:t>
      </w:r>
      <w:r w:rsidR="00A3185D">
        <w:t>s</w:t>
      </w:r>
      <w:r w:rsidR="00443106">
        <w:t xml:space="preserve"> (i.e., </w:t>
      </w:r>
      <w:r w:rsidR="00A3185D">
        <w:t xml:space="preserve">all </w:t>
      </w:r>
      <w:r w:rsidR="00443106">
        <w:t>Playboy</w:t>
      </w:r>
      <w:r w:rsidR="00A3185D">
        <w:t>s</w:t>
      </w:r>
      <w:r w:rsidR="00443106">
        <w:t>, Hustler</w:t>
      </w:r>
      <w:r w:rsidR="00A3185D">
        <w:t>s</w:t>
      </w:r>
      <w:r w:rsidR="00443106">
        <w:t xml:space="preserve">) because </w:t>
      </w:r>
      <w:r w:rsidR="00A3185D">
        <w:t>they</w:t>
      </w:r>
      <w:r w:rsidR="00443106">
        <w:t xml:space="preserve"> frequently ha</w:t>
      </w:r>
      <w:r w:rsidR="00A3185D">
        <w:t>ve</w:t>
      </w:r>
      <w:r w:rsidR="00443106">
        <w:t xml:space="preserve"> objectionable</w:t>
      </w:r>
      <w:r w:rsidR="00A3185D">
        <w:t xml:space="preserve"> </w:t>
      </w:r>
      <w:r w:rsidR="00443106">
        <w:t xml:space="preserve">content is deemed permissible by the courts.  </w:t>
      </w:r>
    </w:p>
    <w:p w14:paraId="558DAF06" w14:textId="5F39C59F" w:rsidR="00DC1C83" w:rsidRDefault="00DC1C83"/>
    <w:p w14:paraId="465F5F92" w14:textId="77777777" w:rsidR="00443106" w:rsidRDefault="00443106"/>
    <w:p w14:paraId="1F9238D4" w14:textId="77777777" w:rsidR="00443106" w:rsidRDefault="00443106" w:rsidP="00443106">
      <w:pPr>
        <w:tabs>
          <w:tab w:val="left" w:pos="-1440"/>
        </w:tabs>
        <w:ind w:left="720" w:hanging="720"/>
      </w:pPr>
      <w:r>
        <w:t xml:space="preserve">15.   </w:t>
      </w:r>
      <w:r>
        <w:tab/>
        <w:t>The Stone County Jail policy manual states that inmates are entitled to 10 phone calls per week; however, Officer Gruff thinks 10 is too many and allows only 3 phone calls per week – a clear violation of the jail’s policy.  Officer Gruff’s clear violation of jail policy thus violates the inmates’ rights.</w:t>
      </w:r>
    </w:p>
    <w:p w14:paraId="479AE4B9" w14:textId="77777777" w:rsidR="00443106" w:rsidRPr="002D79FB" w:rsidRDefault="00443106" w:rsidP="00443106">
      <w:pPr>
        <w:rPr>
          <w:sz w:val="12"/>
        </w:rPr>
      </w:pPr>
    </w:p>
    <w:p w14:paraId="1C456088" w14:textId="77777777" w:rsidR="00443106" w:rsidRDefault="00443106" w:rsidP="00443106">
      <w:pPr>
        <w:ind w:left="720"/>
      </w:pPr>
      <w:r>
        <w:t xml:space="preserve">True </w:t>
      </w:r>
      <w:r>
        <w:rPr>
          <w:u w:val="single"/>
        </w:rPr>
        <w:t xml:space="preserve">          </w:t>
      </w:r>
      <w:r>
        <w:t xml:space="preserve">    False </w:t>
      </w:r>
      <w:r>
        <w:rPr>
          <w:u w:val="single"/>
        </w:rPr>
        <w:t xml:space="preserve">          </w:t>
      </w:r>
    </w:p>
    <w:p w14:paraId="59F18279" w14:textId="1CB2E57B" w:rsidR="005866C7" w:rsidRDefault="00443106">
      <w:r>
        <w:tab/>
      </w:r>
    </w:p>
    <w:p w14:paraId="161A5DE1" w14:textId="0C902B14" w:rsidR="00443106" w:rsidRDefault="00443106"/>
    <w:p w14:paraId="11D1436F" w14:textId="2DFEB810" w:rsidR="00443106" w:rsidRDefault="00443106">
      <w:r>
        <w:t xml:space="preserve">16. </w:t>
      </w:r>
      <w:r>
        <w:tab/>
      </w:r>
      <w:r w:rsidR="00230B84">
        <w:t>Outgoing legal mail can be inspected for contraband by staff, so long as it is in front of</w:t>
      </w:r>
      <w:r w:rsidR="00230B84">
        <w:br/>
        <w:t xml:space="preserve">  </w:t>
      </w:r>
      <w:r w:rsidR="00230B84">
        <w:tab/>
        <w:t>the inmate.</w:t>
      </w:r>
    </w:p>
    <w:p w14:paraId="02C38B7C" w14:textId="77777777" w:rsidR="00230B84" w:rsidRDefault="00230B84" w:rsidP="00230B84">
      <w:pPr>
        <w:ind w:left="720"/>
      </w:pPr>
      <w:r>
        <w:t xml:space="preserve">True </w:t>
      </w:r>
      <w:r>
        <w:rPr>
          <w:u w:val="single"/>
        </w:rPr>
        <w:t xml:space="preserve">          </w:t>
      </w:r>
      <w:r>
        <w:t xml:space="preserve">    False </w:t>
      </w:r>
      <w:r>
        <w:rPr>
          <w:u w:val="single"/>
        </w:rPr>
        <w:t xml:space="preserve">          </w:t>
      </w:r>
    </w:p>
    <w:p w14:paraId="525C470C" w14:textId="0652D1A8" w:rsidR="00AB6D75" w:rsidRDefault="00AB6D75"/>
    <w:p w14:paraId="3241CC9C" w14:textId="0E186027" w:rsidR="00230B84" w:rsidRDefault="00230B84"/>
    <w:p w14:paraId="582D7A54" w14:textId="77777777" w:rsidR="00230B84" w:rsidRDefault="00230B84"/>
    <w:p w14:paraId="391E7A73" w14:textId="2199049D" w:rsidR="00DC1C83" w:rsidRDefault="0092762D">
      <w:r>
        <w:t>Total C</w:t>
      </w:r>
      <w:r w:rsidR="00DC1C83">
        <w:t xml:space="preserve">orrect:   </w:t>
      </w:r>
      <w:r w:rsidR="00F173EC">
        <w:t xml:space="preserve">  </w:t>
      </w:r>
      <w:r w:rsidR="00DC1C83">
        <w:rPr>
          <w:u w:val="single"/>
        </w:rPr>
        <w:t xml:space="preserve">            </w:t>
      </w:r>
      <w:r w:rsidR="0034755F">
        <w:t xml:space="preserve"> </w:t>
      </w:r>
      <w:r w:rsidR="00F173EC">
        <w:t xml:space="preserve"> </w:t>
      </w:r>
      <w:r w:rsidR="002D79FB">
        <w:t xml:space="preserve">of </w:t>
      </w:r>
      <w:r w:rsidR="00443106">
        <w:t>1</w:t>
      </w:r>
      <w:r w:rsidR="00230B84">
        <w:t>8</w:t>
      </w:r>
      <w:r w:rsidR="00DC1C83">
        <w:t xml:space="preserve"> possible</w:t>
      </w:r>
      <w:r>
        <w:t xml:space="preserve"> points</w:t>
      </w:r>
      <w:r w:rsidR="00F173EC">
        <w:br/>
      </w:r>
      <w:r>
        <w:t>Percent C</w:t>
      </w:r>
      <w:r w:rsidR="00DC1C83">
        <w:t>orrect</w:t>
      </w:r>
      <w:r w:rsidR="00F173EC">
        <w:t>:</w:t>
      </w:r>
      <w:r w:rsidR="00DC1C83">
        <w:t xml:space="preserve">   </w:t>
      </w:r>
      <w:r w:rsidR="00DC1C83">
        <w:rPr>
          <w:u w:val="single"/>
        </w:rPr>
        <w:t xml:space="preserve">            </w:t>
      </w:r>
    </w:p>
    <w:sectPr w:rsidR="00DC1C83" w:rsidSect="0092762D">
      <w:type w:val="continuous"/>
      <w:pgSz w:w="12240" w:h="15840"/>
      <w:pgMar w:top="1440" w:right="1440" w:bottom="630" w:left="1440" w:header="144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B337" w14:textId="77777777" w:rsidR="003D17C7" w:rsidRDefault="003D17C7" w:rsidP="0092762D">
      <w:r>
        <w:separator/>
      </w:r>
    </w:p>
  </w:endnote>
  <w:endnote w:type="continuationSeparator" w:id="0">
    <w:p w14:paraId="08E2180E" w14:textId="77777777" w:rsidR="003D17C7" w:rsidRDefault="003D17C7" w:rsidP="0092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29B1" w14:textId="613B5B89" w:rsidR="0092762D" w:rsidRDefault="0092762D" w:rsidP="0092762D">
    <w:pPr>
      <w:pStyle w:val="Footer"/>
      <w:pBdr>
        <w:top w:val="single" w:sz="4" w:space="1" w:color="D9D9D9" w:themeColor="background1" w:themeShade="D9"/>
      </w:pBdr>
    </w:pPr>
    <w:r>
      <w:t>National Institute</w:t>
    </w:r>
    <w:r w:rsidR="00083BC8">
      <w:t xml:space="preserve"> for Jail Operations (NIJO) 20</w:t>
    </w:r>
    <w:r w:rsidR="00443106">
      <w:t>21</w:t>
    </w:r>
    <w:r>
      <w:t xml:space="preserve">.  </w:t>
    </w:r>
    <w:hyperlink r:id="rId1" w:history="1">
      <w:r w:rsidRPr="00E44582">
        <w:rPr>
          <w:rStyle w:val="Hyperlink"/>
        </w:rPr>
        <w:t>www.jailtraining.org</w:t>
      </w:r>
    </w:hyperlink>
    <w:r>
      <w:t xml:space="preserve"> </w:t>
    </w:r>
    <w:sdt>
      <w:sdtPr>
        <w:id w:val="-1285117597"/>
        <w:docPartObj>
          <w:docPartGallery w:val="Page Numbers (Bottom of Page)"/>
          <w:docPartUnique/>
        </w:docPartObj>
      </w:sdtPr>
      <w:sdtEndPr>
        <w:rPr>
          <w:color w:val="808080" w:themeColor="background1" w:themeShade="80"/>
          <w:spacing w:val="60"/>
        </w:rPr>
      </w:sdtEndPr>
      <w:sdtContent>
        <w:r w:rsidR="005268E2">
          <w:t xml:space="preserve">            </w:t>
        </w:r>
        <w:r>
          <w:fldChar w:fldCharType="begin"/>
        </w:r>
        <w:r>
          <w:instrText xml:space="preserve"> PAGE   \* MERGEFORMAT </w:instrText>
        </w:r>
        <w:r>
          <w:fldChar w:fldCharType="separate"/>
        </w:r>
        <w:r w:rsidR="00506B81">
          <w:rPr>
            <w:noProof/>
          </w:rPr>
          <w:t>1</w:t>
        </w:r>
        <w:r>
          <w:rPr>
            <w:noProof/>
          </w:rPr>
          <w:fldChar w:fldCharType="end"/>
        </w:r>
        <w:r>
          <w:t xml:space="preserve"> | </w:t>
        </w:r>
        <w:r>
          <w:rPr>
            <w:color w:val="808080" w:themeColor="background1" w:themeShade="80"/>
            <w:spacing w:val="60"/>
          </w:rPr>
          <w:t>Page</w:t>
        </w:r>
      </w:sdtContent>
    </w:sdt>
  </w:p>
  <w:p w14:paraId="5D484F41" w14:textId="77777777" w:rsidR="0092762D" w:rsidRDefault="0092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6463C" w14:textId="77777777" w:rsidR="003D17C7" w:rsidRDefault="003D17C7" w:rsidP="0092762D">
      <w:r>
        <w:separator/>
      </w:r>
    </w:p>
  </w:footnote>
  <w:footnote w:type="continuationSeparator" w:id="0">
    <w:p w14:paraId="0B4E511D" w14:textId="77777777" w:rsidR="003D17C7" w:rsidRDefault="003D17C7" w:rsidP="00927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83"/>
    <w:rsid w:val="00083BC8"/>
    <w:rsid w:val="000C244E"/>
    <w:rsid w:val="00230B84"/>
    <w:rsid w:val="002D79FB"/>
    <w:rsid w:val="0034755F"/>
    <w:rsid w:val="003D17C7"/>
    <w:rsid w:val="00410FDF"/>
    <w:rsid w:val="00436510"/>
    <w:rsid w:val="00443106"/>
    <w:rsid w:val="0045587D"/>
    <w:rsid w:val="00506B81"/>
    <w:rsid w:val="005268E2"/>
    <w:rsid w:val="005866C7"/>
    <w:rsid w:val="00623C8A"/>
    <w:rsid w:val="00665709"/>
    <w:rsid w:val="007A3B12"/>
    <w:rsid w:val="008B7272"/>
    <w:rsid w:val="00914010"/>
    <w:rsid w:val="0092762D"/>
    <w:rsid w:val="009334AA"/>
    <w:rsid w:val="0098302C"/>
    <w:rsid w:val="00A3185D"/>
    <w:rsid w:val="00A32D82"/>
    <w:rsid w:val="00AB6D75"/>
    <w:rsid w:val="00AD1889"/>
    <w:rsid w:val="00B17EA3"/>
    <w:rsid w:val="00B95848"/>
    <w:rsid w:val="00C950BA"/>
    <w:rsid w:val="00DC1C83"/>
    <w:rsid w:val="00F173EC"/>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704E"/>
  <w14:defaultImageDpi w14:val="0"/>
  <w15:docId w15:val="{049C8C41-ED02-48CD-B2BC-1AF75C42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2762D"/>
    <w:pPr>
      <w:tabs>
        <w:tab w:val="center" w:pos="4680"/>
        <w:tab w:val="right" w:pos="9360"/>
      </w:tabs>
    </w:pPr>
  </w:style>
  <w:style w:type="character" w:customStyle="1" w:styleId="HeaderChar">
    <w:name w:val="Header Char"/>
    <w:basedOn w:val="DefaultParagraphFont"/>
    <w:link w:val="Header"/>
    <w:uiPriority w:val="99"/>
    <w:rsid w:val="0092762D"/>
    <w:rPr>
      <w:rFonts w:ascii="Times New Roman" w:hAnsi="Times New Roman" w:cs="Times New Roman"/>
      <w:sz w:val="24"/>
      <w:szCs w:val="24"/>
    </w:rPr>
  </w:style>
  <w:style w:type="paragraph" w:styleId="Footer">
    <w:name w:val="footer"/>
    <w:basedOn w:val="Normal"/>
    <w:link w:val="FooterChar"/>
    <w:uiPriority w:val="99"/>
    <w:unhideWhenUsed/>
    <w:rsid w:val="0092762D"/>
    <w:pPr>
      <w:tabs>
        <w:tab w:val="center" w:pos="4680"/>
        <w:tab w:val="right" w:pos="9360"/>
      </w:tabs>
    </w:pPr>
  </w:style>
  <w:style w:type="character" w:customStyle="1" w:styleId="FooterChar">
    <w:name w:val="Footer Char"/>
    <w:basedOn w:val="DefaultParagraphFont"/>
    <w:link w:val="Footer"/>
    <w:uiPriority w:val="99"/>
    <w:rsid w:val="0092762D"/>
    <w:rPr>
      <w:rFonts w:ascii="Times New Roman" w:hAnsi="Times New Roman" w:cs="Times New Roman"/>
      <w:sz w:val="24"/>
      <w:szCs w:val="24"/>
    </w:rPr>
  </w:style>
  <w:style w:type="character" w:styleId="Hyperlink">
    <w:name w:val="Hyperlink"/>
    <w:basedOn w:val="DefaultParagraphFont"/>
    <w:uiPriority w:val="99"/>
    <w:unhideWhenUsed/>
    <w:rsid w:val="0092762D"/>
    <w:rPr>
      <w:color w:val="0000FF" w:themeColor="hyperlink"/>
      <w:u w:val="single"/>
    </w:rPr>
  </w:style>
  <w:style w:type="table" w:styleId="TableGrid">
    <w:name w:val="Table Grid"/>
    <w:basedOn w:val="TableNormal"/>
    <w:uiPriority w:val="59"/>
    <w:rsid w:val="0052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jail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DA0B-E798-4FFD-B29D-89CACCB7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DD292-48B9-44B6-92FD-6372C05168B4}">
  <ds:schemaRefs>
    <ds:schemaRef ds:uri="http://schemas.microsoft.com/sharepoint/v3/contenttype/forms"/>
  </ds:schemaRefs>
</ds:datastoreItem>
</file>

<file path=customXml/itemProps3.xml><?xml version="1.0" encoding="utf-8"?>
<ds:datastoreItem xmlns:ds="http://schemas.openxmlformats.org/officeDocument/2006/customXml" ds:itemID="{E9B7AE8A-DAE2-4DBF-855A-CE9DB4861F3F}">
  <ds:schemaRefs>
    <ds:schemaRef ds:uri="http://schemas.microsoft.com/office/2006/documentManagement/types"/>
    <ds:schemaRef ds:uri="http://www.w3.org/XML/1998/namespace"/>
    <ds:schemaRef ds:uri="1ba5d9b7-19e9-43c2-a594-100796e9286e"/>
    <ds:schemaRef ds:uri="http://purl.org/dc/elements/1.1/"/>
    <ds:schemaRef ds:uri="http://purl.org/dc/dcmitype/"/>
    <ds:schemaRef ds:uri="http://schemas.microsoft.com/office/infopath/2007/PartnerControls"/>
    <ds:schemaRef ds:uri="8ba5a7bd-d467-4f14-b7d2-83f23f822c83"/>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264DFAA-DE28-4E82-B726-00461F7D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McCotter</dc:creator>
  <cp:lastModifiedBy>Deb Gregory</cp:lastModifiedBy>
  <cp:revision>2</cp:revision>
  <cp:lastPrinted>2019-10-30T16:50:00Z</cp:lastPrinted>
  <dcterms:created xsi:type="dcterms:W3CDTF">2021-06-01T22:21:00Z</dcterms:created>
  <dcterms:modified xsi:type="dcterms:W3CDTF">2021-06-01T22:21:00Z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